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黑体" w:hAnsi="黑体" w:eastAsia="黑体"/>
          <w:b/>
          <w:bCs/>
          <w:sz w:val="44"/>
          <w:szCs w:val="44"/>
        </w:rPr>
      </w:pPr>
      <w:bookmarkStart w:id="0" w:name="_Toc37240941"/>
      <w:r>
        <w:rPr>
          <w:rFonts w:hint="eastAsia" w:ascii="黑体" w:hAnsi="黑体" w:eastAsia="黑体"/>
          <w:b/>
          <w:bCs/>
          <w:sz w:val="44"/>
          <w:szCs w:val="44"/>
        </w:rPr>
        <w:t>地磅系统实现方案</w:t>
      </w:r>
      <w:bookmarkEnd w:id="0"/>
    </w:p>
    <w:p>
      <w:pPr>
        <w:spacing w:line="360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厦门金蝶软件有限公司</w:t>
      </w:r>
    </w:p>
    <w:p>
      <w:pPr>
        <w:spacing w:line="360" w:lineRule="auto"/>
        <w:jc w:val="center"/>
        <w:rPr>
          <w:color w:val="339966"/>
        </w:rPr>
      </w:pPr>
      <w:r>
        <w:rPr>
          <w:rFonts w:hint="eastAsia"/>
        </w:rPr>
        <w:t>版本号：</w:t>
      </w:r>
      <w:r>
        <w:rPr>
          <w:rFonts w:hint="eastAsia"/>
          <w:color w:val="339966"/>
        </w:rPr>
        <w:t>3.0</w:t>
      </w:r>
    </w:p>
    <w:p>
      <w:pPr>
        <w:pStyle w:val="16"/>
        <w:tabs>
          <w:tab w:val="right" w:leader="dot" w:pos="8296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"_Toc37240941" </w:instrText>
      </w:r>
      <w:r>
        <w:fldChar w:fldCharType="separate"/>
      </w:r>
      <w:r>
        <w:rPr>
          <w:rStyle w:val="20"/>
          <w:rFonts w:ascii="黑体" w:hAnsi="黑体" w:eastAsia="黑体"/>
          <w:b/>
          <w:bCs/>
        </w:rPr>
        <w:t>地磅系统实现方案</w:t>
      </w:r>
      <w:r>
        <w:tab/>
      </w:r>
      <w:bookmarkStart w:id="8" w:name="_GoBack"/>
      <w:bookmarkEnd w:id="8"/>
      <w:r>
        <w:fldChar w:fldCharType="begin"/>
      </w:r>
      <w:r>
        <w:instrText xml:space="preserve"> PAGEREF _Toc37240941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"_Toc37240942" </w:instrText>
      </w:r>
      <w:r>
        <w:fldChar w:fldCharType="separate"/>
      </w:r>
      <w:r>
        <w:rPr>
          <w:rStyle w:val="20"/>
          <w:rFonts w:ascii="黑体" w:hAnsi="黑体" w:eastAsia="黑体"/>
        </w:rPr>
        <w:t>1.1</w:t>
      </w:r>
      <w:r>
        <w:tab/>
      </w:r>
      <w:r>
        <w:rPr>
          <w:rStyle w:val="20"/>
          <w:rFonts w:ascii="黑体" w:hAnsi="黑体" w:eastAsia="黑体"/>
        </w:rPr>
        <w:t>业务需求</w:t>
      </w:r>
      <w:r>
        <w:tab/>
      </w:r>
      <w:r>
        <w:fldChar w:fldCharType="begin"/>
      </w:r>
      <w:r>
        <w:instrText xml:space="preserve"> PAGEREF _Toc37240942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"_Toc37240943" </w:instrText>
      </w:r>
      <w:r>
        <w:fldChar w:fldCharType="separate"/>
      </w:r>
      <w:r>
        <w:rPr>
          <w:rStyle w:val="20"/>
          <w:rFonts w:ascii="黑体" w:hAnsi="黑体" w:eastAsia="黑体"/>
        </w:rPr>
        <w:t>1.2</w:t>
      </w:r>
      <w:r>
        <w:tab/>
      </w:r>
      <w:r>
        <w:rPr>
          <w:rStyle w:val="20"/>
          <w:rFonts w:ascii="黑体" w:hAnsi="黑体" w:eastAsia="黑体"/>
        </w:rPr>
        <w:t>客户应用环境</w:t>
      </w:r>
      <w:r>
        <w:tab/>
      </w:r>
      <w:r>
        <w:fldChar w:fldCharType="begin"/>
      </w:r>
      <w:r>
        <w:instrText xml:space="preserve"> PAGEREF _Toc37240943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"_Toc37240944" </w:instrText>
      </w:r>
      <w:r>
        <w:fldChar w:fldCharType="separate"/>
      </w:r>
      <w:r>
        <w:rPr>
          <w:rStyle w:val="20"/>
          <w:rFonts w:ascii="黑体" w:hAnsi="黑体" w:eastAsia="黑体"/>
        </w:rPr>
        <w:t>1.3</w:t>
      </w:r>
      <w:r>
        <w:tab/>
      </w:r>
      <w:r>
        <w:rPr>
          <w:rStyle w:val="20"/>
          <w:rFonts w:ascii="黑体" w:hAnsi="黑体" w:eastAsia="黑体"/>
        </w:rPr>
        <w:t>实现方案</w:t>
      </w:r>
      <w:r>
        <w:tab/>
      </w:r>
      <w:r>
        <w:fldChar w:fldCharType="begin"/>
      </w:r>
      <w:r>
        <w:instrText xml:space="preserve"> PAGEREF _Toc37240944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3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"_Toc37240945" </w:instrText>
      </w:r>
      <w:r>
        <w:fldChar w:fldCharType="separate"/>
      </w:r>
      <w:r>
        <w:rPr>
          <w:rStyle w:val="20"/>
          <w:rFonts w:ascii="黑体" w:hAnsi="黑体" w:eastAsia="黑体"/>
        </w:rPr>
        <w:t>1.3.1</w:t>
      </w:r>
      <w:r>
        <w:tab/>
      </w:r>
      <w:r>
        <w:rPr>
          <w:rStyle w:val="20"/>
          <w:rFonts w:ascii="黑体" w:hAnsi="黑体" w:eastAsia="黑体"/>
        </w:rPr>
        <w:t>实现</w:t>
      </w:r>
      <w:r>
        <w:rPr>
          <w:rStyle w:val="20"/>
        </w:rPr>
        <w:t>方案</w:t>
      </w:r>
      <w:r>
        <w:rPr>
          <w:rStyle w:val="20"/>
          <w:rFonts w:ascii="黑体" w:hAnsi="黑体" w:eastAsia="黑体"/>
        </w:rPr>
        <w:t>-地磅系统搭建</w:t>
      </w:r>
      <w:r>
        <w:tab/>
      </w:r>
      <w:r>
        <w:fldChar w:fldCharType="begin"/>
      </w:r>
      <w:r>
        <w:instrText xml:space="preserve"> PAGEREF _Toc37240945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3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"_Toc37240946" </w:instrText>
      </w:r>
      <w:r>
        <w:fldChar w:fldCharType="separate"/>
      </w:r>
      <w:r>
        <w:rPr>
          <w:rStyle w:val="20"/>
          <w:rFonts w:ascii="黑体" w:hAnsi="黑体" w:eastAsia="黑体"/>
        </w:rPr>
        <w:t>1.3.2</w:t>
      </w:r>
      <w:r>
        <w:tab/>
      </w:r>
      <w:r>
        <w:rPr>
          <w:rStyle w:val="20"/>
          <w:rFonts w:ascii="黑体" w:hAnsi="黑体" w:eastAsia="黑体"/>
        </w:rPr>
        <w:t>实现</w:t>
      </w:r>
      <w:r>
        <w:rPr>
          <w:rStyle w:val="20"/>
        </w:rPr>
        <w:t>方案</w:t>
      </w:r>
      <w:r>
        <w:rPr>
          <w:rStyle w:val="20"/>
          <w:rFonts w:ascii="黑体" w:hAnsi="黑体" w:eastAsia="黑体"/>
        </w:rPr>
        <w:t>-销售业务称重操作</w:t>
      </w:r>
      <w:r>
        <w:tab/>
      </w:r>
      <w:r>
        <w:fldChar w:fldCharType="begin"/>
      </w:r>
      <w:r>
        <w:instrText xml:space="preserve"> PAGEREF _Toc37240946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3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"_Toc37240947" </w:instrText>
      </w:r>
      <w:r>
        <w:fldChar w:fldCharType="separate"/>
      </w:r>
      <w:r>
        <w:rPr>
          <w:rStyle w:val="20"/>
          <w:rFonts w:ascii="黑体" w:hAnsi="黑体" w:eastAsia="黑体"/>
        </w:rPr>
        <w:t>1.3.3</w:t>
      </w:r>
      <w:r>
        <w:tab/>
      </w:r>
      <w:r>
        <w:rPr>
          <w:rStyle w:val="20"/>
          <w:rFonts w:ascii="黑体" w:hAnsi="黑体" w:eastAsia="黑体"/>
        </w:rPr>
        <w:t>实现方案-采购业务称重</w:t>
      </w:r>
      <w:r>
        <w:tab/>
      </w:r>
      <w:r>
        <w:fldChar w:fldCharType="begin"/>
      </w:r>
      <w:r>
        <w:instrText xml:space="preserve"> PAGEREF _Toc37240947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"_Toc37240948" </w:instrText>
      </w:r>
      <w:r>
        <w:fldChar w:fldCharType="separate"/>
      </w:r>
      <w:r>
        <w:rPr>
          <w:rStyle w:val="20"/>
          <w:rFonts w:ascii="黑体" w:hAnsi="黑体" w:eastAsia="黑体"/>
        </w:rPr>
        <w:t>1.4</w:t>
      </w:r>
      <w:r>
        <w:tab/>
      </w:r>
      <w:r>
        <w:rPr>
          <w:rStyle w:val="20"/>
          <w:rFonts w:ascii="黑体" w:hAnsi="黑体" w:eastAsia="黑体"/>
        </w:rPr>
        <w:t>特别说明</w:t>
      </w:r>
      <w:r>
        <w:tab/>
      </w:r>
      <w:r>
        <w:fldChar w:fldCharType="begin"/>
      </w:r>
      <w:r>
        <w:instrText xml:space="preserve"> PAGEREF _Toc37240948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3"/>
        <w:spacing w:before="0" w:after="0"/>
        <w:rPr>
          <w:rFonts w:ascii="黑体" w:hAnsi="黑体" w:eastAsia="黑体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spacing w:before="0" w:after="0"/>
        <w:rPr>
          <w:rFonts w:ascii="黑体" w:hAnsi="黑体" w:eastAsia="黑体"/>
        </w:rPr>
      </w:pPr>
      <w:bookmarkStart w:id="1" w:name="_Toc37240942"/>
      <w:r>
        <w:rPr>
          <w:rFonts w:hint="eastAsia" w:ascii="黑体" w:hAnsi="黑体" w:eastAsia="黑体"/>
        </w:rPr>
        <w:t>业务需求</w:t>
      </w:r>
      <w:bookmarkEnd w:id="1"/>
    </w:p>
    <w:p>
      <w:pPr>
        <w:ind w:firstLine="420" w:firstLineChars="200"/>
      </w:pPr>
      <w:r>
        <w:rPr>
          <w:rFonts w:hint="eastAsia"/>
        </w:rPr>
        <w:t>独立开发一套地磅系统。</w:t>
      </w:r>
    </w:p>
    <w:p>
      <w:r>
        <w:rPr>
          <w:rFonts w:hint="eastAsia"/>
        </w:rPr>
        <w:t>需求一：</w:t>
      </w:r>
    </w:p>
    <w:p>
      <w:pPr>
        <w:ind w:firstLine="420" w:firstLineChars="200"/>
      </w:pPr>
      <w:r>
        <w:rPr>
          <w:rFonts w:hint="eastAsia"/>
        </w:rPr>
        <w:t>物料“</w:t>
      </w:r>
      <w:r>
        <w:t>有标准重量</w:t>
      </w:r>
      <w:r>
        <w:rPr>
          <w:rFonts w:hint="eastAsia"/>
        </w:rPr>
        <w:t>”</w:t>
      </w:r>
      <w:r>
        <w:t>，过磅的时候，我输入数量，有个</w:t>
      </w:r>
      <w:r>
        <w:rPr>
          <w:rFonts w:hint="eastAsia"/>
        </w:rPr>
        <w:t>“</w:t>
      </w:r>
      <w:r>
        <w:t>理论重量</w:t>
      </w:r>
      <w:r>
        <w:rPr>
          <w:rFonts w:hint="eastAsia"/>
        </w:rPr>
        <w:t>”</w:t>
      </w:r>
      <w:r>
        <w:t>和</w:t>
      </w:r>
      <w:r>
        <w:rPr>
          <w:rFonts w:hint="eastAsia"/>
        </w:rPr>
        <w:t>“</w:t>
      </w:r>
      <w:r>
        <w:t>实际重量</w:t>
      </w:r>
      <w:r>
        <w:rPr>
          <w:rFonts w:hint="eastAsia"/>
        </w:rPr>
        <w:t>”，</w:t>
      </w:r>
      <w:r>
        <w:t>如果超两个重量相差 1%，有预警提示</w:t>
      </w:r>
      <w:r>
        <w:rPr>
          <w:rFonts w:hint="eastAsia"/>
        </w:rPr>
        <w:t>。</w:t>
      </w:r>
    </w:p>
    <w:p>
      <w:r>
        <w:rPr>
          <w:rFonts w:hint="eastAsia"/>
        </w:rPr>
        <w:t>需要二：</w:t>
      </w:r>
    </w:p>
    <w:p>
      <w:pPr>
        <w:ind w:firstLine="420" w:firstLineChars="200"/>
        <w:rPr>
          <w:color w:val="FF0000"/>
        </w:rPr>
      </w:pPr>
      <w:r>
        <w:rPr>
          <w:rFonts w:hint="eastAsia"/>
        </w:rPr>
        <w:t>过磅系统可以读取</w:t>
      </w:r>
      <w:r>
        <w:t xml:space="preserve"> K3  采购订单 或销售订单信息 （这样就可以不用 人工输入 数量和理论重量，  直接和地磅的称的实际重量 做对比，超了有预警提示）</w:t>
      </w:r>
      <w:r>
        <w:rPr>
          <w:rFonts w:hint="eastAsia"/>
        </w:rPr>
        <w:t>，</w:t>
      </w:r>
      <w:r>
        <w:rPr>
          <w:rFonts w:hint="eastAsia"/>
          <w:color w:val="FF0000"/>
        </w:rPr>
        <w:t>按每个物料进行预警。</w:t>
      </w:r>
    </w:p>
    <w:p>
      <w:pPr>
        <w:ind w:firstLine="420" w:firstLineChars="200"/>
      </w:pPr>
      <w:r>
        <w:rPr>
          <w:rFonts w:hint="eastAsia"/>
          <w:color w:val="FF0000"/>
        </w:rPr>
        <w:t>预警控制功能：</w:t>
      </w:r>
      <w:r>
        <w:rPr>
          <w:rFonts w:hint="eastAsia"/>
        </w:rPr>
        <w:t>在地磅系统设置类型信用管理的控制参数：“预警”、“预警密码录入”、“不允许”。</w:t>
      </w:r>
    </w:p>
    <w:p>
      <w:pPr>
        <w:ind w:firstLine="420" w:firstLineChars="200"/>
      </w:pPr>
      <w:r>
        <w:rPr>
          <w:rFonts w:hint="eastAsia"/>
        </w:rPr>
        <w:t>超1%的范围，系统进行预警提示：</w:t>
      </w:r>
    </w:p>
    <w:p>
      <w:pPr>
        <w:ind w:firstLine="420" w:firstLineChars="200"/>
      </w:pPr>
      <w:r>
        <w:rPr>
          <w:rFonts w:hint="eastAsia"/>
        </w:rPr>
        <w:t>参数选择“预警”：系统不做控制，可以执行下一步动作</w:t>
      </w:r>
    </w:p>
    <w:p>
      <w:pPr>
        <w:ind w:firstLine="420" w:firstLineChars="200"/>
      </w:pPr>
      <w:r>
        <w:rPr>
          <w:rFonts w:hint="eastAsia"/>
        </w:rPr>
        <w:t>“预警密码输入”：需有权限的人录入密码，然后才允许执行下一步动作</w:t>
      </w:r>
    </w:p>
    <w:p>
      <w:pPr>
        <w:ind w:firstLine="420" w:firstLineChars="200"/>
      </w:pPr>
      <w:r>
        <w:rPr>
          <w:rFonts w:hint="eastAsia"/>
        </w:rPr>
        <w:t>“不允许”：只要超了，就不允许进行其他操作</w:t>
      </w:r>
    </w:p>
    <w:p>
      <w:r>
        <w:rPr>
          <w:rFonts w:hint="eastAsia"/>
        </w:rPr>
        <w:t>需求三：</w:t>
      </w:r>
      <w:r>
        <w:t xml:space="preserve"> </w:t>
      </w:r>
    </w:p>
    <w:p>
      <w:pPr>
        <w:ind w:firstLine="420" w:firstLineChars="200"/>
      </w:pPr>
      <w:r>
        <w:t>称重</w:t>
      </w:r>
      <w:r>
        <w:rPr>
          <w:rFonts w:hint="eastAsia"/>
        </w:rPr>
        <w:t>后</w:t>
      </w:r>
      <w:r>
        <w:t>，能自动生成  K3 的</w:t>
      </w:r>
      <w:r>
        <w:rPr>
          <w:rFonts w:hint="eastAsia"/>
        </w:rPr>
        <w:t>【</w:t>
      </w:r>
      <w:r>
        <w:t>外购入库</w:t>
      </w:r>
      <w:r>
        <w:rPr>
          <w:rFonts w:hint="eastAsia"/>
        </w:rPr>
        <w:t>】</w:t>
      </w:r>
      <w:r>
        <w:t>和</w:t>
      </w:r>
      <w:r>
        <w:rPr>
          <w:rFonts w:hint="eastAsia"/>
        </w:rPr>
        <w:t>【</w:t>
      </w:r>
      <w:r>
        <w:t>销售出库单</w:t>
      </w:r>
      <w:r>
        <w:rPr>
          <w:rFonts w:hint="eastAsia"/>
        </w:rPr>
        <w:t>】。</w:t>
      </w:r>
    </w:p>
    <w:p>
      <w:r>
        <w:rPr>
          <w:rFonts w:hint="eastAsia"/>
        </w:rPr>
        <w:t>需求四：</w:t>
      </w:r>
      <w:r>
        <w:t xml:space="preserve"> </w:t>
      </w:r>
    </w:p>
    <w:p>
      <w:pPr>
        <w:ind w:firstLine="420" w:firstLineChars="20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需要对接多个</w:t>
      </w:r>
      <w:r>
        <w:rPr>
          <w:b/>
          <w:bCs/>
          <w:color w:val="FF0000"/>
        </w:rPr>
        <w:t>K3 账套</w:t>
      </w:r>
      <w:r>
        <w:rPr>
          <w:rFonts w:hint="eastAsia"/>
          <w:b/>
          <w:bCs/>
          <w:color w:val="FF0000"/>
        </w:rPr>
        <w:t>。</w:t>
      </w:r>
    </w:p>
    <w:p>
      <w:pPr>
        <w:pStyle w:val="3"/>
        <w:spacing w:before="0" w:after="0"/>
        <w:rPr>
          <w:rFonts w:ascii="黑体" w:hAnsi="黑体" w:eastAsia="黑体"/>
        </w:rPr>
      </w:pPr>
      <w:bookmarkStart w:id="2" w:name="_Toc37240943"/>
      <w:r>
        <w:rPr>
          <w:rFonts w:hint="eastAsia" w:ascii="黑体" w:hAnsi="黑体" w:eastAsia="黑体"/>
        </w:rPr>
        <w:t>客户应用环境</w:t>
      </w:r>
      <w:bookmarkEnd w:id="2"/>
    </w:p>
    <w:p>
      <w:pPr>
        <w:ind w:firstLine="420" w:firstLineChars="20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客户目前有wise</w:t>
      </w:r>
      <w:r>
        <w:rPr>
          <w:b/>
          <w:bCs/>
          <w:color w:val="FF0000"/>
        </w:rPr>
        <w:t xml:space="preserve"> 15.1</w:t>
      </w:r>
      <w:r>
        <w:rPr>
          <w:rFonts w:hint="eastAsia"/>
          <w:b/>
          <w:bCs/>
          <w:color w:val="FF0000"/>
        </w:rPr>
        <w:t>，</w:t>
      </w:r>
      <w:r>
        <w:rPr>
          <w:b/>
          <w:bCs/>
          <w:color w:val="FF0000"/>
        </w:rPr>
        <w:t>wise 13.</w:t>
      </w:r>
      <w:r>
        <w:rPr>
          <w:rFonts w:hint="eastAsia"/>
          <w:b/>
          <w:bCs/>
          <w:color w:val="FF0000"/>
        </w:rPr>
        <w:t>1两个版本。分别有多个账套，不同账套销售订单、销售出库单、采购订单、外购入库单上自定义的字段不一样。</w:t>
      </w:r>
    </w:p>
    <w:p>
      <w:pPr>
        <w:pStyle w:val="3"/>
        <w:spacing w:before="0" w:after="0"/>
        <w:rPr>
          <w:rFonts w:ascii="黑体" w:hAnsi="黑体" w:eastAsia="黑体"/>
        </w:rPr>
      </w:pPr>
      <w:bookmarkStart w:id="3" w:name="_Toc37240944"/>
      <w:r>
        <w:rPr>
          <w:rFonts w:hint="eastAsia" w:ascii="黑体" w:hAnsi="黑体" w:eastAsia="黑体"/>
        </w:rPr>
        <w:t>实现方案</w:t>
      </w:r>
      <w:bookmarkEnd w:id="3"/>
    </w:p>
    <w:p>
      <w:pPr>
        <w:pStyle w:val="4"/>
        <w:rPr>
          <w:rFonts w:ascii="黑体" w:hAnsi="黑体" w:eastAsia="黑体"/>
        </w:rPr>
      </w:pPr>
      <w:bookmarkStart w:id="4" w:name="_Toc37240945"/>
      <w:r>
        <w:rPr>
          <w:rFonts w:hint="eastAsia" w:ascii="黑体" w:hAnsi="黑体" w:eastAsia="黑体"/>
        </w:rPr>
        <w:t>实现</w:t>
      </w:r>
      <w:r>
        <w:rPr>
          <w:rFonts w:hint="eastAsia"/>
        </w:rPr>
        <w:t>方案</w:t>
      </w:r>
      <w:r>
        <w:rPr>
          <w:rFonts w:hint="eastAsia" w:ascii="黑体" w:hAnsi="黑体" w:eastAsia="黑体"/>
        </w:rPr>
        <w:t>-地磅系统搭建</w:t>
      </w:r>
      <w:bookmarkEnd w:id="4"/>
    </w:p>
    <w:p>
      <w:r>
        <w:drawing>
          <wp:inline distT="0" distB="0" distL="0" distR="0">
            <wp:extent cx="5934710" cy="3338195"/>
            <wp:effectExtent l="0" t="0" r="889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主要功能模块：</w:t>
      </w:r>
    </w:p>
    <w:p>
      <w:pPr>
        <w:pStyle w:val="30"/>
        <w:numPr>
          <w:ilvl w:val="0"/>
          <w:numId w:val="2"/>
        </w:numPr>
        <w:ind w:firstLineChars="0"/>
      </w:pPr>
      <w:r>
        <w:rPr>
          <w:rFonts w:hint="eastAsia"/>
        </w:rPr>
        <w:t>数据维护</w:t>
      </w:r>
    </w:p>
    <w:p>
      <w:pPr>
        <w:pStyle w:val="30"/>
        <w:ind w:left="360" w:firstLine="0" w:firstLineChars="0"/>
      </w:pPr>
      <w:r>
        <w:rPr>
          <w:rFonts w:hint="eastAsia"/>
        </w:rPr>
        <w:t>维护一些基础数据，如车牌号、班次、</w:t>
      </w:r>
      <w:r>
        <w:rPr>
          <w:rFonts w:hint="eastAsia"/>
          <w:color w:val="FF0000"/>
        </w:rPr>
        <w:t>货物流向</w:t>
      </w:r>
      <w:r>
        <w:rPr>
          <w:rFonts w:hint="eastAsia"/>
        </w:rPr>
        <w:t>等基础信息。</w:t>
      </w:r>
    </w:p>
    <w:p>
      <w:pPr>
        <w:pStyle w:val="30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用户管理</w:t>
      </w:r>
    </w:p>
    <w:p>
      <w:pPr>
        <w:pStyle w:val="30"/>
        <w:ind w:left="360" w:firstLine="0" w:firstLineChars="0"/>
      </w:pPr>
      <w:r>
        <w:rPr>
          <w:rFonts w:hint="eastAsia"/>
        </w:rPr>
        <w:t>地磅系统的用户新增、权限控制等。</w:t>
      </w:r>
    </w:p>
    <w:p>
      <w:pPr>
        <w:pStyle w:val="30"/>
        <w:numPr>
          <w:ilvl w:val="0"/>
          <w:numId w:val="2"/>
        </w:numPr>
        <w:ind w:firstLineChars="0"/>
      </w:pPr>
      <w:r>
        <w:rPr>
          <w:rFonts w:hint="eastAsia"/>
        </w:rPr>
        <w:t>预警设置</w:t>
      </w:r>
    </w:p>
    <w:p>
      <w:pPr>
        <w:pStyle w:val="30"/>
        <w:ind w:left="360" w:firstLine="0" w:firstLineChars="0"/>
        <w:rPr>
          <w:rFonts w:hint="eastAsia"/>
        </w:rPr>
      </w:pPr>
      <w:r>
        <w:rPr>
          <w:rFonts w:hint="eastAsia"/>
        </w:rPr>
        <w:t>用于控制实际重量超标准重量时的预警处理方式。</w:t>
      </w:r>
    </w:p>
    <w:p>
      <w:pPr>
        <w:pStyle w:val="30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数据库设置</w:t>
      </w:r>
    </w:p>
    <w:p>
      <w:pPr>
        <w:pStyle w:val="30"/>
        <w:ind w:left="360" w:firstLine="0" w:firstLineChars="0"/>
        <w:rPr>
          <w:rFonts w:hint="eastAsia"/>
        </w:rPr>
      </w:pPr>
      <w:r>
        <w:rPr>
          <w:rFonts w:hint="eastAsia"/>
        </w:rPr>
        <w:t>用于设置与金蝶账套连接的设置。</w:t>
      </w:r>
    </w:p>
    <w:p>
      <w:pPr>
        <w:pStyle w:val="30"/>
        <w:numPr>
          <w:ilvl w:val="0"/>
          <w:numId w:val="2"/>
        </w:numPr>
        <w:ind w:firstLineChars="0"/>
      </w:pPr>
      <w:r>
        <w:rPr>
          <w:rFonts w:hint="eastAsia"/>
        </w:rPr>
        <w:t>称重操作</w:t>
      </w:r>
    </w:p>
    <w:p>
      <w:pPr>
        <w:pStyle w:val="30"/>
        <w:ind w:left="360" w:firstLine="0" w:firstLineChars="0"/>
        <w:rPr>
          <w:rFonts w:hint="eastAsia"/>
        </w:rPr>
      </w:pPr>
      <w:r>
        <w:rPr>
          <w:rFonts w:hint="eastAsia"/>
        </w:rPr>
        <w:t>称重操作及数据存储如下界面</w:t>
      </w:r>
    </w:p>
    <w:p>
      <w:r>
        <w:drawing>
          <wp:inline distT="0" distB="0" distL="0" distR="0">
            <wp:extent cx="10546080" cy="3759200"/>
            <wp:effectExtent l="0" t="0" r="762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460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 w:firstLineChars="200"/>
      </w:pPr>
      <w:r>
        <w:rPr>
          <w:rFonts w:hint="eastAsia"/>
          <w:b/>
          <w:color w:val="0070C0"/>
        </w:rPr>
        <w:t>因为同一采购订单、销售订单物料是一样的，因此不会出现混装的订单；因此，扫描订单号后，系统将自动带出订单信息（物料、订单数量），由于不同的帐套，会有很多自定义信息，因此，为了方便显示，在称重系统只显示基本共有信息，其他信息根据帐套的特殊需求，做配置，生成对应的出库或入库单时，再根据订单的内码、分录号以及配置信息，自动发布到对应的帐套；</w:t>
      </w:r>
    </w:p>
    <w:p>
      <w:pPr>
        <w:pStyle w:val="4"/>
        <w:rPr>
          <w:rFonts w:ascii="黑体" w:hAnsi="黑体" w:eastAsia="黑体"/>
        </w:rPr>
      </w:pPr>
      <w:bookmarkStart w:id="5" w:name="_Toc37240946"/>
      <w:r>
        <w:rPr>
          <w:rFonts w:hint="eastAsia" w:ascii="黑体" w:hAnsi="黑体" w:eastAsia="黑体"/>
        </w:rPr>
        <w:t>实现</w:t>
      </w:r>
      <w:r>
        <w:rPr>
          <w:rFonts w:hint="eastAsia"/>
        </w:rPr>
        <w:t>方案</w:t>
      </w:r>
      <w:r>
        <w:rPr>
          <w:rFonts w:hint="eastAsia" w:ascii="黑体" w:hAnsi="黑体" w:eastAsia="黑体"/>
        </w:rPr>
        <w:t>-销售业务称重操作</w:t>
      </w:r>
      <w:bookmarkEnd w:id="5"/>
    </w:p>
    <w:p>
      <w:pPr>
        <w:ind w:firstLine="420" w:firstLineChars="200"/>
        <w:rPr>
          <w:b/>
          <w:bCs/>
        </w:rPr>
      </w:pPr>
      <w:r>
        <w:rPr>
          <w:rFonts w:hint="eastAsia"/>
          <w:b/>
          <w:bCs/>
        </w:rPr>
        <w:t>按车号配对称重</w:t>
      </w:r>
    </w:p>
    <w:p>
      <w:pPr>
        <w:ind w:firstLine="420" w:firstLineChars="200"/>
      </w:pPr>
      <w:r>
        <w:rPr>
          <w:rFonts w:hint="eastAsia"/>
        </w:rPr>
        <w:t>业务先做号销售订单，并打印单据到磅站（同时发送到客户或运输公司）。</w:t>
      </w:r>
    </w:p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第一次称重</w:t>
      </w:r>
    </w:p>
    <w:p>
      <w:pPr>
        <w:ind w:firstLine="420" w:firstLineChars="200"/>
        <w:rPr>
          <w:rFonts w:hint="eastAsia"/>
          <w:b/>
          <w:bCs/>
        </w:rPr>
      </w:pPr>
      <w:r>
        <w:rPr>
          <w:rFonts w:hint="eastAsia"/>
          <w:b/>
          <w:bCs/>
        </w:rPr>
        <w:t>运输车辆进入我司前，先到地磅进行空车称重。</w:t>
      </w:r>
    </w:p>
    <w:p>
      <w:pPr>
        <w:pStyle w:val="30"/>
        <w:numPr>
          <w:ilvl w:val="0"/>
          <w:numId w:val="3"/>
        </w:numPr>
        <w:ind w:firstLineChars="0"/>
      </w:pPr>
      <w:r>
        <w:rPr>
          <w:rFonts w:hint="eastAsia"/>
        </w:rPr>
        <w:t>在信息录入区域，先选择业务单位（选择账套），然后点击“继续”按钮，清空录入区域内容。</w:t>
      </w:r>
    </w:p>
    <w:p>
      <w:pPr>
        <w:pStyle w:val="30"/>
        <w:numPr>
          <w:ilvl w:val="0"/>
          <w:numId w:val="3"/>
        </w:numPr>
        <w:ind w:firstLineChars="0"/>
      </w:pPr>
      <w:r>
        <w:rPr>
          <w:rFonts w:hint="eastAsia"/>
        </w:rPr>
        <w:t>录入销售订单单号，系统自动带入销售订单的内容，如“品名”、“规格”、“数量”、“标准重量”、“收货单位”、“发运重量”等信息。“业务类型”根据销售订单自动带入。</w:t>
      </w:r>
    </w:p>
    <w:p>
      <w:pPr>
        <w:pStyle w:val="30"/>
        <w:numPr>
          <w:ilvl w:val="0"/>
          <w:numId w:val="3"/>
        </w:numPr>
        <w:ind w:firstLineChars="0"/>
      </w:pPr>
      <w:r>
        <w:rPr>
          <w:rFonts w:hint="eastAsia"/>
        </w:rPr>
        <w:t>称重员继续录入“车牌号”、“后挂号”等其他销售订单没有的信息。</w:t>
      </w:r>
    </w:p>
    <w:p>
      <w:pPr>
        <w:pStyle w:val="30"/>
        <w:numPr>
          <w:ilvl w:val="0"/>
          <w:numId w:val="3"/>
        </w:numPr>
        <w:ind w:firstLineChars="0"/>
      </w:pPr>
      <w:r>
        <w:rPr>
          <w:rFonts w:hint="eastAsia"/>
        </w:rPr>
        <w:t>空车时进入地磅进行称重，点击【读取】，根据“业务类型”为“销售”，读取称重数据到“皮重”。此时有“空车重量”数据即“皮重”和“发运重量”。</w:t>
      </w:r>
    </w:p>
    <w:p>
      <w:pPr>
        <w:pStyle w:val="30"/>
        <w:numPr>
          <w:ilvl w:val="0"/>
          <w:numId w:val="3"/>
        </w:numPr>
        <w:ind w:firstLineChars="0"/>
      </w:pPr>
      <w:r>
        <w:rPr>
          <w:rFonts w:hint="eastAsia"/>
        </w:rPr>
        <w:t>点击【保存】，系统将数据保存到未完成交易的数据库中，即“临时数据”表中。</w:t>
      </w:r>
    </w:p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第二次称重</w:t>
      </w:r>
    </w:p>
    <w:p>
      <w:pPr>
        <w:pStyle w:val="30"/>
        <w:ind w:left="780" w:firstLine="0" w:firstLineChars="0"/>
        <w:rPr>
          <w:b/>
          <w:bCs/>
        </w:rPr>
      </w:pPr>
      <w:r>
        <w:rPr>
          <w:rFonts w:hint="eastAsia"/>
          <w:b/>
          <w:bCs/>
        </w:rPr>
        <w:t>装车好后，出我司前，需在地磅进行称重。</w:t>
      </w:r>
    </w:p>
    <w:p>
      <w:pPr>
        <w:pStyle w:val="30"/>
        <w:numPr>
          <w:ilvl w:val="0"/>
          <w:numId w:val="4"/>
        </w:numPr>
        <w:ind w:firstLineChars="0"/>
      </w:pPr>
      <w:r>
        <w:rPr>
          <w:rFonts w:hint="eastAsia"/>
        </w:rPr>
        <w:t>输入车号信息或订单单号，系统自动在未完成交易数据库中查找改订单、车牌号信息。找到后，将第一次称重的非称重信息显示在录入区域。</w:t>
      </w:r>
    </w:p>
    <w:p>
      <w:pPr>
        <w:pStyle w:val="30"/>
        <w:numPr>
          <w:ilvl w:val="0"/>
          <w:numId w:val="4"/>
        </w:numPr>
        <w:ind w:firstLineChars="0"/>
      </w:pPr>
      <w:r>
        <w:rPr>
          <w:rFonts w:hint="eastAsia"/>
        </w:rPr>
        <w:t>系统根据业务类型“销售业务”，自动显示第一次称重重量在“皮重”栏中。点击“读取”，系统将此次的称重重量录入“毛重”栏中，系统自动比较两次的重量，计算出“净重”。</w:t>
      </w:r>
    </w:p>
    <w:p>
      <w:pPr>
        <w:pStyle w:val="30"/>
        <w:ind w:left="780" w:firstLine="0" w:firstLineChars="0"/>
        <w:rPr>
          <w:rFonts w:hint="eastAsia"/>
        </w:rPr>
      </w:pPr>
      <w:r>
        <w:rPr>
          <w:rFonts w:hint="eastAsia"/>
        </w:rPr>
        <w:t>同时“净重”与“发运重量”进行对比，计算出“差异重来”及“差异率”。</w:t>
      </w:r>
    </w:p>
    <w:p>
      <w:pPr>
        <w:pStyle w:val="30"/>
        <w:numPr>
          <w:ilvl w:val="0"/>
          <w:numId w:val="4"/>
        </w:numPr>
        <w:ind w:firstLineChars="0"/>
      </w:pPr>
      <w:r>
        <w:rPr>
          <w:rFonts w:hint="eastAsia"/>
        </w:rPr>
        <w:t>点击【保存】按钮，系统将“差异率”与“允许差异率”进行对比，如“差异率”&gt;“允许差异率”，则系统弹出警告窗口进行显示，根据预警设置做相应处理。</w:t>
      </w:r>
    </w:p>
    <w:p>
      <w:pPr>
        <w:pStyle w:val="30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允许保存后，系统将数据保存到完成交易的数据库中，即“交易数据”表中。</w:t>
      </w:r>
    </w:p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交易完成数据生成销售出库单</w:t>
      </w:r>
    </w:p>
    <w:p>
      <w:pPr>
        <w:ind w:firstLine="420" w:firstLineChars="200"/>
      </w:pPr>
      <w:r>
        <w:rPr>
          <w:rFonts w:hint="eastAsia"/>
        </w:rPr>
        <w:t>点击“交易数据”，选择要生成销售出库单的交易数据，点击“生成销售出库单”自动发送相应数据到K</w:t>
      </w:r>
      <w:r>
        <w:t>3</w:t>
      </w:r>
      <w:r>
        <w:rPr>
          <w:rFonts w:hint="eastAsia"/>
        </w:rPr>
        <w:t>系统对应账套（通过数据上的“业务单位”进行匹配账套），生成对应的销售出库单。</w:t>
      </w:r>
    </w:p>
    <w:p>
      <w:pPr>
        <w:ind w:firstLine="420" w:firstLineChars="200"/>
      </w:pPr>
      <w:r>
        <w:rPr>
          <w:rFonts w:hint="eastAsia"/>
        </w:rPr>
        <w:t>同时反写“交易数据”状态字段“是否已生成单据”为“是”。</w:t>
      </w:r>
    </w:p>
    <w:p>
      <w:pPr>
        <w:ind w:firstLine="420" w:firstLineChars="200"/>
      </w:pPr>
      <w:r>
        <w:rPr>
          <w:rFonts w:hint="eastAsia"/>
        </w:rPr>
        <w:t>同时，反写</w:t>
      </w:r>
      <w:r>
        <w:t>K3</w:t>
      </w:r>
      <w:r>
        <w:rPr>
          <w:rFonts w:hint="eastAsia"/>
        </w:rPr>
        <w:t>wise销售订单的相应数据。</w:t>
      </w:r>
    </w:p>
    <w:p>
      <w:pPr>
        <w:pStyle w:val="4"/>
        <w:rPr>
          <w:rFonts w:ascii="黑体" w:hAnsi="黑体" w:eastAsia="黑体"/>
        </w:rPr>
      </w:pPr>
      <w:bookmarkStart w:id="6" w:name="_Toc37240947"/>
      <w:r>
        <w:rPr>
          <w:rFonts w:hint="eastAsia" w:ascii="黑体" w:hAnsi="黑体" w:eastAsia="黑体"/>
        </w:rPr>
        <w:t>实现方案-采购业务称重</w:t>
      </w:r>
      <w:bookmarkEnd w:id="6"/>
    </w:p>
    <w:p>
      <w:pPr>
        <w:ind w:firstLine="420" w:firstLineChars="200"/>
        <w:rPr>
          <w:b/>
          <w:bCs/>
        </w:rPr>
      </w:pPr>
      <w:r>
        <w:rPr>
          <w:rFonts w:hint="eastAsia"/>
          <w:b/>
          <w:bCs/>
        </w:rPr>
        <w:t>按车号配对称重</w:t>
      </w:r>
    </w:p>
    <w:p>
      <w:pPr>
        <w:ind w:firstLine="420" w:firstLineChars="200"/>
      </w:pPr>
      <w:r>
        <w:rPr>
          <w:rFonts w:hint="eastAsia"/>
        </w:rPr>
        <w:t>采购员先做好采购订单，并打印单据到磅站（同时发送到供应商或运输公司）。</w:t>
      </w:r>
    </w:p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第一次称重</w:t>
      </w:r>
    </w:p>
    <w:p>
      <w:pPr>
        <w:ind w:firstLine="420" w:firstLineChars="200"/>
        <w:rPr>
          <w:rFonts w:hint="eastAsia"/>
          <w:b/>
          <w:bCs/>
        </w:rPr>
      </w:pPr>
      <w:r>
        <w:rPr>
          <w:rFonts w:hint="eastAsia"/>
          <w:b/>
          <w:bCs/>
        </w:rPr>
        <w:t>运输车辆进入我司前，先到地磅进行装车称重。</w:t>
      </w:r>
    </w:p>
    <w:p>
      <w:pPr>
        <w:pStyle w:val="30"/>
        <w:numPr>
          <w:ilvl w:val="0"/>
          <w:numId w:val="5"/>
        </w:numPr>
        <w:ind w:firstLineChars="0"/>
      </w:pPr>
      <w:r>
        <w:rPr>
          <w:rFonts w:hint="eastAsia"/>
        </w:rPr>
        <w:t>在信息录入区域，先选择业务单位（选择账套），然后点击“继续”按钮，清空录入区域内容。</w:t>
      </w:r>
    </w:p>
    <w:p>
      <w:pPr>
        <w:pStyle w:val="30"/>
        <w:numPr>
          <w:ilvl w:val="0"/>
          <w:numId w:val="5"/>
        </w:numPr>
        <w:ind w:firstLineChars="0"/>
      </w:pPr>
      <w:r>
        <w:rPr>
          <w:rFonts w:hint="eastAsia"/>
        </w:rPr>
        <w:t>录入采购订单单号，系统自动带入采购订单的内容，如“品名”、“规格”、“数量”、“标准重量”、“送货单位”、“发运重量”等信息。“业务类型”根据采购订单自动带入。</w:t>
      </w:r>
    </w:p>
    <w:p>
      <w:pPr>
        <w:pStyle w:val="30"/>
        <w:numPr>
          <w:ilvl w:val="0"/>
          <w:numId w:val="5"/>
        </w:numPr>
        <w:ind w:firstLineChars="0"/>
      </w:pPr>
      <w:r>
        <w:rPr>
          <w:rFonts w:hint="eastAsia"/>
        </w:rPr>
        <w:t>称重员继续录入“车牌号”、“后挂号”等其他采购订单没有的信息。</w:t>
      </w:r>
    </w:p>
    <w:p>
      <w:pPr>
        <w:pStyle w:val="30"/>
        <w:numPr>
          <w:ilvl w:val="0"/>
          <w:numId w:val="5"/>
        </w:numPr>
        <w:ind w:firstLineChars="0"/>
      </w:pPr>
      <w:r>
        <w:rPr>
          <w:rFonts w:hint="eastAsia"/>
        </w:rPr>
        <w:t>重车时进入地磅进行称重，点击【读取】，根据业务类型“采购”读取称重数据到“毛重”。此时有“装车重量”数据即“毛重”及“发运重量”。</w:t>
      </w:r>
    </w:p>
    <w:p>
      <w:pPr>
        <w:pStyle w:val="30"/>
        <w:numPr>
          <w:ilvl w:val="0"/>
          <w:numId w:val="5"/>
        </w:numPr>
        <w:ind w:firstLineChars="0"/>
      </w:pPr>
      <w:r>
        <w:rPr>
          <w:rFonts w:hint="eastAsia"/>
        </w:rPr>
        <w:t>点击【保存】，系统将数据保存到未完成交易的数据库中，即“临时数据”表中。</w:t>
      </w:r>
    </w:p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第二次称重</w:t>
      </w:r>
    </w:p>
    <w:p>
      <w:pPr>
        <w:pStyle w:val="30"/>
        <w:ind w:left="780" w:firstLine="0" w:firstLineChars="0"/>
        <w:rPr>
          <w:b/>
          <w:bCs/>
        </w:rPr>
      </w:pPr>
      <w:r>
        <w:rPr>
          <w:rFonts w:hint="eastAsia"/>
          <w:b/>
          <w:bCs/>
        </w:rPr>
        <w:t>卸货完成后，出我司前，需再次到地磅进行称重。</w:t>
      </w:r>
    </w:p>
    <w:p>
      <w:pPr>
        <w:pStyle w:val="30"/>
        <w:numPr>
          <w:ilvl w:val="0"/>
          <w:numId w:val="6"/>
        </w:numPr>
        <w:ind w:firstLineChars="0"/>
      </w:pPr>
      <w:r>
        <w:rPr>
          <w:rFonts w:hint="eastAsia"/>
        </w:rPr>
        <w:t>输入订单单号或车号信息，系统自动在未完成交易数据库中查找改订单、车牌号信息。找到后，将第一次称重的非称重信息显示在录入区域。</w:t>
      </w:r>
    </w:p>
    <w:p>
      <w:pPr>
        <w:pStyle w:val="30"/>
        <w:numPr>
          <w:ilvl w:val="0"/>
          <w:numId w:val="6"/>
        </w:numPr>
        <w:ind w:firstLineChars="0"/>
      </w:pPr>
      <w:r>
        <w:rPr>
          <w:rFonts w:hint="eastAsia"/>
        </w:rPr>
        <w:t>系统根据业务类型“采购业务”，自动显示第一次称重重量在“毛重”栏中。点击“读取”，系统将此次的称重重量录入“皮重”栏中，系统自动比较两次的重量，计算出“净重”。</w:t>
      </w:r>
    </w:p>
    <w:p>
      <w:pPr>
        <w:pStyle w:val="30"/>
        <w:ind w:left="780" w:firstLine="0" w:firstLineChars="0"/>
        <w:rPr>
          <w:rFonts w:hint="eastAsia"/>
        </w:rPr>
      </w:pPr>
      <w:r>
        <w:rPr>
          <w:rFonts w:hint="eastAsia"/>
        </w:rPr>
        <w:t>同时“净重”与“发运重量”进行对比，计算出“差异重来”及“差异率”。</w:t>
      </w:r>
    </w:p>
    <w:p>
      <w:pPr>
        <w:pStyle w:val="30"/>
        <w:numPr>
          <w:ilvl w:val="0"/>
          <w:numId w:val="6"/>
        </w:numPr>
        <w:ind w:firstLineChars="0"/>
      </w:pPr>
      <w:r>
        <w:rPr>
          <w:rFonts w:hint="eastAsia"/>
        </w:rPr>
        <w:t>点击【保存】按钮，系统将“差异率”与“允许差异率”进行对比，如“差异率”&gt;“允许差异率”，则系统弹出警告窗口进行显示，根据预警设置做相应处理。</w:t>
      </w:r>
    </w:p>
    <w:p>
      <w:pPr>
        <w:pStyle w:val="30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允许保存后，系统将数据保存到完成交易的数据库中，即“交易数据”表中。</w:t>
      </w:r>
    </w:p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交易完成数据生成采购入库单</w:t>
      </w:r>
    </w:p>
    <w:p>
      <w:pPr>
        <w:ind w:firstLine="420" w:firstLineChars="200"/>
      </w:pPr>
      <w:r>
        <w:rPr>
          <w:rFonts w:hint="eastAsia"/>
        </w:rPr>
        <w:t>点击“交易数据”，选择要生成采购入库单的交易数据，点击“生成外购入库单”自动发送相应数据到K</w:t>
      </w:r>
      <w:r>
        <w:t>3</w:t>
      </w:r>
      <w:r>
        <w:rPr>
          <w:rFonts w:hint="eastAsia"/>
        </w:rPr>
        <w:t>系统对应账套（通过数据上的“业务单位”进行匹配账套），生成对应的外购入库单。</w:t>
      </w:r>
    </w:p>
    <w:p>
      <w:pPr>
        <w:ind w:firstLine="420" w:firstLineChars="200"/>
      </w:pPr>
      <w:r>
        <w:rPr>
          <w:rFonts w:hint="eastAsia"/>
        </w:rPr>
        <w:t>同时反写“交易数据”状态字段“是否已生成单据”为“是”。</w:t>
      </w:r>
    </w:p>
    <w:p>
      <w:pPr>
        <w:ind w:firstLine="420" w:firstLineChars="200"/>
      </w:pPr>
      <w:r>
        <w:rPr>
          <w:rFonts w:hint="eastAsia"/>
        </w:rPr>
        <w:t>同时，反写</w:t>
      </w:r>
      <w:r>
        <w:t>K3</w:t>
      </w:r>
      <w:r>
        <w:rPr>
          <w:rFonts w:hint="eastAsia"/>
        </w:rPr>
        <w:t>wise采购订单的相应数据。</w:t>
      </w:r>
    </w:p>
    <w:p>
      <w:pPr>
        <w:pStyle w:val="3"/>
        <w:spacing w:before="0" w:after="0"/>
        <w:rPr>
          <w:rFonts w:ascii="黑体" w:hAnsi="黑体" w:eastAsia="黑体"/>
        </w:rPr>
      </w:pPr>
      <w:bookmarkStart w:id="7" w:name="_Toc37240948"/>
      <w:r>
        <w:rPr>
          <w:rFonts w:hint="eastAsia" w:ascii="黑体" w:hAnsi="黑体" w:eastAsia="黑体"/>
        </w:rPr>
        <w:t>特别说明</w:t>
      </w:r>
      <w:bookmarkEnd w:id="7"/>
    </w:p>
    <w:p>
      <w:pPr>
        <w:ind w:firstLine="420" w:firstLineChars="20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数据的传递目前只考虑由地磅系统传递到K</w:t>
      </w:r>
      <w:r>
        <w:rPr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系统。K</w:t>
      </w:r>
      <w:r>
        <w:rPr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系统的操作不影响地磅系统的数据。如在K3系统删除有地磅生成的销售出库单，此信息不会返写到地磅系统。地磅系统不记录删除状态。</w:t>
      </w:r>
    </w:p>
    <w:p>
      <w:pPr>
        <w:widowControl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-243840</wp:posOffset>
          </wp:positionV>
          <wp:extent cx="1152525" cy="402590"/>
          <wp:effectExtent l="0" t="0" r="9525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52525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03527"/>
    <w:multiLevelType w:val="multilevel"/>
    <w:tmpl w:val="10D03527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1B0473E"/>
    <w:multiLevelType w:val="multilevel"/>
    <w:tmpl w:val="11B0473E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47B7764D"/>
    <w:multiLevelType w:val="multilevel"/>
    <w:tmpl w:val="47B7764D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23B5DC2"/>
    <w:multiLevelType w:val="multilevel"/>
    <w:tmpl w:val="523B5DC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4C91541"/>
    <w:multiLevelType w:val="multilevel"/>
    <w:tmpl w:val="74C9154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D212127"/>
    <w:multiLevelType w:val="multilevel"/>
    <w:tmpl w:val="7D212127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152"/>
    <w:rsid w:val="00006302"/>
    <w:rsid w:val="00016731"/>
    <w:rsid w:val="0003103D"/>
    <w:rsid w:val="00041CCF"/>
    <w:rsid w:val="00060E54"/>
    <w:rsid w:val="00072D7A"/>
    <w:rsid w:val="00087BA4"/>
    <w:rsid w:val="0009201C"/>
    <w:rsid w:val="00097337"/>
    <w:rsid w:val="000A0B5E"/>
    <w:rsid w:val="000D61CA"/>
    <w:rsid w:val="000E5F18"/>
    <w:rsid w:val="000E6BBA"/>
    <w:rsid w:val="000F0C48"/>
    <w:rsid w:val="00100C26"/>
    <w:rsid w:val="00117108"/>
    <w:rsid w:val="001239EE"/>
    <w:rsid w:val="0014699E"/>
    <w:rsid w:val="00155154"/>
    <w:rsid w:val="001803B7"/>
    <w:rsid w:val="00185907"/>
    <w:rsid w:val="00195BB3"/>
    <w:rsid w:val="001C1A73"/>
    <w:rsid w:val="001C4F7D"/>
    <w:rsid w:val="001C6BBE"/>
    <w:rsid w:val="001E109B"/>
    <w:rsid w:val="00207287"/>
    <w:rsid w:val="00213311"/>
    <w:rsid w:val="002153AD"/>
    <w:rsid w:val="0023300A"/>
    <w:rsid w:val="00240AF6"/>
    <w:rsid w:val="002461E1"/>
    <w:rsid w:val="00246493"/>
    <w:rsid w:val="002524E8"/>
    <w:rsid w:val="0026174A"/>
    <w:rsid w:val="00296593"/>
    <w:rsid w:val="002A39CB"/>
    <w:rsid w:val="002D3D97"/>
    <w:rsid w:val="002F0B05"/>
    <w:rsid w:val="00300EAB"/>
    <w:rsid w:val="00324CAD"/>
    <w:rsid w:val="0032634F"/>
    <w:rsid w:val="00335A06"/>
    <w:rsid w:val="00335B96"/>
    <w:rsid w:val="00343736"/>
    <w:rsid w:val="0034552E"/>
    <w:rsid w:val="00361060"/>
    <w:rsid w:val="00371E09"/>
    <w:rsid w:val="00382432"/>
    <w:rsid w:val="00383820"/>
    <w:rsid w:val="003B3139"/>
    <w:rsid w:val="003C18F4"/>
    <w:rsid w:val="003C6E8B"/>
    <w:rsid w:val="003F5048"/>
    <w:rsid w:val="00406BD2"/>
    <w:rsid w:val="00434574"/>
    <w:rsid w:val="00440094"/>
    <w:rsid w:val="00484876"/>
    <w:rsid w:val="004A291B"/>
    <w:rsid w:val="004E09F0"/>
    <w:rsid w:val="004F244D"/>
    <w:rsid w:val="004F5B11"/>
    <w:rsid w:val="005249F9"/>
    <w:rsid w:val="0053335E"/>
    <w:rsid w:val="00534D53"/>
    <w:rsid w:val="00551778"/>
    <w:rsid w:val="005523AE"/>
    <w:rsid w:val="00560CB2"/>
    <w:rsid w:val="00560EA1"/>
    <w:rsid w:val="00562D83"/>
    <w:rsid w:val="005727D4"/>
    <w:rsid w:val="00580C66"/>
    <w:rsid w:val="0059665E"/>
    <w:rsid w:val="00597BE2"/>
    <w:rsid w:val="005B1716"/>
    <w:rsid w:val="005B1DC5"/>
    <w:rsid w:val="005B1F2A"/>
    <w:rsid w:val="005D07ED"/>
    <w:rsid w:val="005D1226"/>
    <w:rsid w:val="005D1FF1"/>
    <w:rsid w:val="005E4CFE"/>
    <w:rsid w:val="006040F0"/>
    <w:rsid w:val="00605AB4"/>
    <w:rsid w:val="00630D9C"/>
    <w:rsid w:val="00635E66"/>
    <w:rsid w:val="0063737B"/>
    <w:rsid w:val="00650152"/>
    <w:rsid w:val="00655FC6"/>
    <w:rsid w:val="0066025F"/>
    <w:rsid w:val="006627DC"/>
    <w:rsid w:val="006724D0"/>
    <w:rsid w:val="00675A55"/>
    <w:rsid w:val="00684E43"/>
    <w:rsid w:val="0069365E"/>
    <w:rsid w:val="00697818"/>
    <w:rsid w:val="006A3464"/>
    <w:rsid w:val="006A78E3"/>
    <w:rsid w:val="006B1055"/>
    <w:rsid w:val="006B4D87"/>
    <w:rsid w:val="006B4E30"/>
    <w:rsid w:val="006C03ED"/>
    <w:rsid w:val="006C31C0"/>
    <w:rsid w:val="006C7948"/>
    <w:rsid w:val="006E28DE"/>
    <w:rsid w:val="006F3226"/>
    <w:rsid w:val="006F512C"/>
    <w:rsid w:val="006F6695"/>
    <w:rsid w:val="00735E75"/>
    <w:rsid w:val="00753B5E"/>
    <w:rsid w:val="00765F2F"/>
    <w:rsid w:val="00766FDC"/>
    <w:rsid w:val="007731AC"/>
    <w:rsid w:val="0078052A"/>
    <w:rsid w:val="00781AB6"/>
    <w:rsid w:val="0078214B"/>
    <w:rsid w:val="007A2B45"/>
    <w:rsid w:val="007A4199"/>
    <w:rsid w:val="007A4EC1"/>
    <w:rsid w:val="007A578F"/>
    <w:rsid w:val="007A5BF9"/>
    <w:rsid w:val="007A776F"/>
    <w:rsid w:val="007C09A1"/>
    <w:rsid w:val="007D42E4"/>
    <w:rsid w:val="007E1E03"/>
    <w:rsid w:val="007F6041"/>
    <w:rsid w:val="0086426F"/>
    <w:rsid w:val="00887C63"/>
    <w:rsid w:val="008A7B19"/>
    <w:rsid w:val="008C0F87"/>
    <w:rsid w:val="0090357C"/>
    <w:rsid w:val="0090498E"/>
    <w:rsid w:val="0091104F"/>
    <w:rsid w:val="0092201E"/>
    <w:rsid w:val="00931944"/>
    <w:rsid w:val="009558E7"/>
    <w:rsid w:val="00983252"/>
    <w:rsid w:val="00990387"/>
    <w:rsid w:val="009A30C4"/>
    <w:rsid w:val="009B631B"/>
    <w:rsid w:val="009B7A4F"/>
    <w:rsid w:val="009E15FB"/>
    <w:rsid w:val="00A446E7"/>
    <w:rsid w:val="00A46287"/>
    <w:rsid w:val="00A5640F"/>
    <w:rsid w:val="00A72CC3"/>
    <w:rsid w:val="00AA0A9B"/>
    <w:rsid w:val="00AA23A6"/>
    <w:rsid w:val="00AB7B11"/>
    <w:rsid w:val="00AE2C52"/>
    <w:rsid w:val="00AE4147"/>
    <w:rsid w:val="00AE5D36"/>
    <w:rsid w:val="00AE7995"/>
    <w:rsid w:val="00AF746B"/>
    <w:rsid w:val="00B10444"/>
    <w:rsid w:val="00B230AD"/>
    <w:rsid w:val="00B23DE0"/>
    <w:rsid w:val="00B4590A"/>
    <w:rsid w:val="00B533E6"/>
    <w:rsid w:val="00B55F8B"/>
    <w:rsid w:val="00B6708C"/>
    <w:rsid w:val="00B74FEC"/>
    <w:rsid w:val="00B8365F"/>
    <w:rsid w:val="00B95CDA"/>
    <w:rsid w:val="00BA18CA"/>
    <w:rsid w:val="00BA5322"/>
    <w:rsid w:val="00BC1740"/>
    <w:rsid w:val="00BE1B79"/>
    <w:rsid w:val="00BE5B30"/>
    <w:rsid w:val="00C04F6E"/>
    <w:rsid w:val="00C06099"/>
    <w:rsid w:val="00C14E15"/>
    <w:rsid w:val="00C34DD4"/>
    <w:rsid w:val="00C46CA9"/>
    <w:rsid w:val="00C65B1C"/>
    <w:rsid w:val="00C677C9"/>
    <w:rsid w:val="00C91497"/>
    <w:rsid w:val="00C961F8"/>
    <w:rsid w:val="00C9627D"/>
    <w:rsid w:val="00CD052E"/>
    <w:rsid w:val="00CD3FA7"/>
    <w:rsid w:val="00D0375A"/>
    <w:rsid w:val="00D05441"/>
    <w:rsid w:val="00D746F1"/>
    <w:rsid w:val="00D90966"/>
    <w:rsid w:val="00DA752A"/>
    <w:rsid w:val="00DB25E4"/>
    <w:rsid w:val="00DC1EDB"/>
    <w:rsid w:val="00DE07CA"/>
    <w:rsid w:val="00E03CE3"/>
    <w:rsid w:val="00E04244"/>
    <w:rsid w:val="00E21630"/>
    <w:rsid w:val="00E25BA9"/>
    <w:rsid w:val="00E3042C"/>
    <w:rsid w:val="00E329B0"/>
    <w:rsid w:val="00E45D61"/>
    <w:rsid w:val="00E46423"/>
    <w:rsid w:val="00E55572"/>
    <w:rsid w:val="00E5669D"/>
    <w:rsid w:val="00E70FB4"/>
    <w:rsid w:val="00E72572"/>
    <w:rsid w:val="00E73D71"/>
    <w:rsid w:val="00E80BDB"/>
    <w:rsid w:val="00E930FB"/>
    <w:rsid w:val="00E96FAD"/>
    <w:rsid w:val="00EB10F3"/>
    <w:rsid w:val="00ED54B6"/>
    <w:rsid w:val="00EE5AC0"/>
    <w:rsid w:val="00F00B16"/>
    <w:rsid w:val="00F10A78"/>
    <w:rsid w:val="00F11774"/>
    <w:rsid w:val="00F32CF9"/>
    <w:rsid w:val="00F53054"/>
    <w:rsid w:val="00F81338"/>
    <w:rsid w:val="00F853DA"/>
    <w:rsid w:val="00F91D55"/>
    <w:rsid w:val="00FD2858"/>
    <w:rsid w:val="00FD4E83"/>
    <w:rsid w:val="00FD77F9"/>
    <w:rsid w:val="00FE7280"/>
    <w:rsid w:val="07881103"/>
    <w:rsid w:val="0BA22365"/>
    <w:rsid w:val="2E954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0" w:name="Body Text"/>
    <w:lsdException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6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7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8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29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link w:val="37"/>
    <w:semiHidden/>
    <w:unhideWhenUsed/>
    <w:uiPriority w:val="0"/>
    <w:pPr>
      <w:widowControl/>
      <w:overflowPunct w:val="0"/>
      <w:autoSpaceDE w:val="0"/>
      <w:autoSpaceDN w:val="0"/>
      <w:adjustRightInd w:val="0"/>
      <w:spacing w:after="215"/>
      <w:jc w:val="left"/>
    </w:pPr>
    <w:rPr>
      <w:rFonts w:ascii="Arial" w:hAnsi="Arial" w:eastAsia="宋体" w:cs="新宋体"/>
      <w:kern w:val="0"/>
      <w:sz w:val="24"/>
      <w:szCs w:val="20"/>
      <w:lang w:eastAsia="en-US"/>
    </w:rPr>
  </w:style>
  <w:style w:type="paragraph" w:styleId="12">
    <w:name w:val="Body Text Indent"/>
    <w:basedOn w:val="1"/>
    <w:next w:val="11"/>
    <w:link w:val="34"/>
    <w:semiHidden/>
    <w:unhideWhenUsed/>
    <w:uiPriority w:val="0"/>
    <w:pPr>
      <w:widowControl/>
      <w:overflowPunct w:val="0"/>
      <w:autoSpaceDE w:val="0"/>
      <w:autoSpaceDN w:val="0"/>
      <w:adjustRightInd w:val="0"/>
      <w:spacing w:after="120"/>
      <w:ind w:left="283"/>
      <w:jc w:val="left"/>
    </w:pPr>
    <w:rPr>
      <w:rFonts w:ascii="Arial" w:hAnsi="Arial" w:eastAsia="宋体" w:cs="新宋体"/>
      <w:i/>
      <w:color w:val="0000FF"/>
      <w:kern w:val="0"/>
      <w:sz w:val="24"/>
      <w:szCs w:val="20"/>
      <w:lang w:eastAsia="en-US"/>
    </w:rPr>
  </w:style>
  <w:style w:type="paragraph" w:styleId="13">
    <w:name w:val="toc 3"/>
    <w:basedOn w:val="1"/>
    <w:next w:val="1"/>
    <w:unhideWhenUsed/>
    <w:uiPriority w:val="39"/>
    <w:pPr>
      <w:ind w:left="840" w:leftChars="400"/>
    </w:pPr>
  </w:style>
  <w:style w:type="paragraph" w:styleId="14">
    <w:name w:val="footer"/>
    <w:basedOn w:val="1"/>
    <w:link w:val="3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3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uiPriority w:val="39"/>
  </w:style>
  <w:style w:type="paragraph" w:styleId="17">
    <w:name w:val="toc 2"/>
    <w:basedOn w:val="1"/>
    <w:next w:val="1"/>
    <w:unhideWhenUsed/>
    <w:uiPriority w:val="39"/>
    <w:pPr>
      <w:ind w:left="420" w:leftChars="200"/>
    </w:pPr>
  </w:style>
  <w:style w:type="character" w:styleId="20">
    <w:name w:val="Hyperlink"/>
    <w:basedOn w:val="1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1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2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24">
    <w:name w:val="标题 4 字符"/>
    <w:basedOn w:val="19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标题 5 字符"/>
    <w:basedOn w:val="19"/>
    <w:link w:val="6"/>
    <w:semiHidden/>
    <w:qFormat/>
    <w:uiPriority w:val="9"/>
    <w:rPr>
      <w:b/>
      <w:bCs/>
      <w:sz w:val="28"/>
      <w:szCs w:val="28"/>
    </w:rPr>
  </w:style>
  <w:style w:type="character" w:customStyle="1" w:styleId="26">
    <w:name w:val="标题 6 字符"/>
    <w:basedOn w:val="19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7">
    <w:name w:val="标题 7 字符"/>
    <w:basedOn w:val="19"/>
    <w:link w:val="8"/>
    <w:semiHidden/>
    <w:uiPriority w:val="9"/>
    <w:rPr>
      <w:b/>
      <w:bCs/>
      <w:sz w:val="24"/>
      <w:szCs w:val="24"/>
    </w:rPr>
  </w:style>
  <w:style w:type="character" w:customStyle="1" w:styleId="28">
    <w:name w:val="标题 8 字符"/>
    <w:basedOn w:val="19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9">
    <w:name w:val="标题 9 字符"/>
    <w:basedOn w:val="19"/>
    <w:link w:val="10"/>
    <w:semiHidden/>
    <w:uiPriority w:val="9"/>
    <w:rPr>
      <w:rFonts w:asciiTheme="majorHAnsi" w:hAnsiTheme="majorHAnsi" w:eastAsiaTheme="majorEastAsia" w:cstheme="majorBidi"/>
      <w:szCs w:val="21"/>
    </w:rPr>
  </w:style>
  <w:style w:type="paragraph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页眉 字符"/>
    <w:basedOn w:val="19"/>
    <w:link w:val="15"/>
    <w:uiPriority w:val="99"/>
    <w:rPr>
      <w:sz w:val="18"/>
      <w:szCs w:val="18"/>
    </w:rPr>
  </w:style>
  <w:style w:type="character" w:customStyle="1" w:styleId="32">
    <w:name w:val="页脚 字符"/>
    <w:basedOn w:val="19"/>
    <w:link w:val="14"/>
    <w:uiPriority w:val="99"/>
    <w:rPr>
      <w:sz w:val="18"/>
      <w:szCs w:val="18"/>
    </w:rPr>
  </w:style>
  <w:style w:type="character" w:customStyle="1" w:styleId="33">
    <w:name w:val="正文文本 字符"/>
    <w:basedOn w:val="19"/>
    <w:semiHidden/>
    <w:uiPriority w:val="99"/>
  </w:style>
  <w:style w:type="character" w:customStyle="1" w:styleId="34">
    <w:name w:val="正文文本缩进 字符"/>
    <w:basedOn w:val="19"/>
    <w:link w:val="12"/>
    <w:semiHidden/>
    <w:uiPriority w:val="0"/>
    <w:rPr>
      <w:rFonts w:ascii="Arial" w:hAnsi="Arial" w:eastAsia="宋体" w:cs="新宋体"/>
      <w:i/>
      <w:color w:val="0000FF"/>
      <w:kern w:val="0"/>
      <w:sz w:val="24"/>
      <w:szCs w:val="20"/>
      <w:lang w:eastAsia="en-US"/>
    </w:rPr>
  </w:style>
  <w:style w:type="paragraph" w:customStyle="1" w:styleId="35">
    <w:name w:val="Table Text"/>
    <w:basedOn w:val="11"/>
    <w:qFormat/>
    <w:uiPriority w:val="0"/>
    <w:pPr>
      <w:spacing w:after="0"/>
      <w:ind w:left="28" w:right="28"/>
    </w:pPr>
  </w:style>
  <w:style w:type="paragraph" w:customStyle="1" w:styleId="36">
    <w:name w:val="Heading B"/>
    <w:basedOn w:val="3"/>
    <w:uiPriority w:val="0"/>
    <w:pPr>
      <w:keepLines w:val="0"/>
      <w:widowControl/>
      <w:overflowPunct w:val="0"/>
      <w:autoSpaceDE w:val="0"/>
      <w:autoSpaceDN w:val="0"/>
      <w:adjustRightInd w:val="0"/>
      <w:spacing w:before="400" w:after="120" w:line="240" w:lineRule="auto"/>
      <w:ind w:left="0" w:firstLine="0"/>
      <w:jc w:val="left"/>
      <w:outlineLvl w:val="9"/>
    </w:pPr>
    <w:rPr>
      <w:rFonts w:ascii="Arial" w:hAnsi="Arial" w:eastAsia="宋体" w:cs="新宋体"/>
      <w:bCs w:val="0"/>
      <w:kern w:val="0"/>
      <w:sz w:val="28"/>
      <w:szCs w:val="20"/>
      <w:lang w:eastAsia="en-US"/>
    </w:rPr>
  </w:style>
  <w:style w:type="character" w:customStyle="1" w:styleId="37">
    <w:name w:val="正文文本 字符1"/>
    <w:link w:val="11"/>
    <w:semiHidden/>
    <w:locked/>
    <w:uiPriority w:val="0"/>
    <w:rPr>
      <w:rFonts w:ascii="Arial" w:hAnsi="Arial" w:eastAsia="宋体" w:cs="新宋体"/>
      <w:kern w:val="0"/>
      <w:sz w:val="24"/>
      <w:szCs w:val="20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471</Words>
  <Characters>2688</Characters>
  <Lines>22</Lines>
  <Paragraphs>6</Paragraphs>
  <TotalTime>546</TotalTime>
  <ScaleCrop>false</ScaleCrop>
  <LinksUpToDate>false</LinksUpToDate>
  <CharactersWithSpaces>3153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2020-03-20T06:15:00Z</dcterms:created>
  <dc:creator>yejinyi</dc:creator>
  <cp:lastModifiedBy>邱</cp:lastModifiedBy>
  <cp:lastPrinted>2020-03-20T06:42:00Z</cp:lastPrinted>
  <dcterms:modified xsi:type="dcterms:W3CDTF">2020-04-09T02:49:40Z</dcterms:modified>
  <cp:revision>220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