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分割领料操作说明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【生产】→【生产领料】</w:t>
      </w:r>
    </w:p>
    <w:p>
      <w:pPr>
        <w:jc w:val="both"/>
      </w:pPr>
      <w:r>
        <w:drawing>
          <wp:inline distT="0" distB="0" distL="114300" distR="114300">
            <wp:extent cx="5267960" cy="5575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生产领料为分割车间领料记录岗位。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生产领料</w:t>
      </w:r>
    </w:p>
    <w:p>
      <w:pPr>
        <w:jc w:val="both"/>
      </w:pPr>
      <w:r>
        <w:drawing>
          <wp:inline distT="0" distB="0" distL="114300" distR="114300">
            <wp:extent cx="5260975" cy="2844165"/>
            <wp:effectExtent l="0" t="0" r="1587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磅秤别名：选择设置好的磅秤别名。磅秤设置见文档{【系统】-6硬件设置操作说明}。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皮重设置：右键点击空白处，进行皮重按钮设置，多个皮重中间用逗号（,）隔开。确定后，上传配置信息。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495040" cy="33521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11144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扫码称重，白条上磅后，进行扫码。每头白条会对应一个条码。</w:t>
      </w:r>
      <w:r>
        <w:rPr>
          <w:rFonts w:hint="eastAsia"/>
          <w:sz w:val="28"/>
          <w:szCs w:val="28"/>
          <w:highlight w:val="red"/>
          <w:lang w:val="en-US" w:eastAsia="zh-CN"/>
        </w:rPr>
        <w:t>若白条下磅后条码列表框仍有条码，需关闭模块，重新打开。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127125"/>
            <wp:effectExtent l="0" t="0" r="508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数据提交：勾选自动提交，数据会自动提交至服务器，否则需要点击手动提交按钮，将数据传至服务器。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382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</w:p>
    <w:bookmarkEnd w:id="0"/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产品配置：右键空白处【发货产品配置】，勾选需要添加的产品，确定。上传配置信息。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7000240"/>
            <wp:effectExtent l="0" t="0" r="825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0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908550"/>
            <wp:effectExtent l="0" t="0" r="762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9990" cy="112395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3FA9"/>
    <w:multiLevelType w:val="singleLevel"/>
    <w:tmpl w:val="52363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61C20"/>
    <w:rsid w:val="04B61C20"/>
    <w:rsid w:val="5DDC04EF"/>
    <w:rsid w:val="6D444FC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2018-06-26T09:04:00Z</dcterms:created>
  <dc:creator>二十啷铛岁，而今幡然醒悟</dc:creator>
  <cp:lastModifiedBy>二十啷铛岁，而今幡然醒悟</cp:lastModifiedBy>
  <dcterms:modified xsi:type="dcterms:W3CDTF">2018-07-11T07:35:29Z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