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分割副产称重操作说明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【生产】→【称重打码】</w:t>
      </w:r>
    </w:p>
    <w:p>
      <w:pPr>
        <w:jc w:val="left"/>
      </w:pPr>
      <w:r>
        <w:drawing>
          <wp:inline distT="0" distB="0" distL="114300" distR="114300">
            <wp:extent cx="5266055" cy="74739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 xml:space="preserve"> 分割称重打码</w:t>
      </w:r>
    </w:p>
    <w:p>
      <w:pPr>
        <w:jc w:val="left"/>
      </w:pPr>
      <w:r>
        <w:drawing>
          <wp:inline distT="0" distB="0" distL="114300" distR="114300">
            <wp:extent cx="5266055" cy="28746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磅秤别名：选择设置好的磅秤别名。磅秤设置见文档{【系统】-6硬件设置操作说明}。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勾选打印条码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产品类别配置：右键空白处，【产品类别按钮配置】，输入名称，中间用“,”隔开。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7325" cy="86741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产品配置：选中产品类别，点击产品配置按钮，勾选需要添加的产品，确定，上传配置信息。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239204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配货比率：点击文本框，输入要调整的配货比率值（用于标记完成后再次调出按钮进行配货。）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477135"/>
            <wp:effectExtent l="0" t="0" r="38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设置显示订单数：右键空白区域，【设置单个产品显示订单数】。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91973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删除记录：全部生产生产数据页签下，选中要删除的记录，点击【删除记录】按钮。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80890" cy="51047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数据提交：勾选自动提交，数据会自动提交至服务器，否则需要点击手动提交按钮，将数据传至服务器。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38275" cy="981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数据服务连接：数据服务器连接正常，数据可上传至服务器，若提示数据服务器连接失败，请检查网络，网络正常后提交数据。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客户订单模式：客户订单模式下检索出相应客户，进行配货，其余配置与产品分类模式一致。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2388235"/>
            <wp:effectExtent l="0" t="0" r="10795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63FA9"/>
    <w:multiLevelType w:val="singleLevel"/>
    <w:tmpl w:val="52363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C07F9"/>
    <w:rsid w:val="6D535020"/>
    <w:rsid w:val="71E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2018-07-11T06:25:00Z</dcterms:created>
  <dc:creator>二十啷铛岁，而今幡然醒悟</dc:creator>
  <cp:lastModifiedBy>二十啷铛岁，而今幡然醒悟</cp:lastModifiedBy>
  <dcterms:modified xsi:type="dcterms:W3CDTF">2018-07-11T07:19:11Z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