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采购相关设置操作说明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【系统】→【采购设置】</w:t>
      </w:r>
    </w:p>
    <w:p>
      <w:r>
        <w:drawing>
          <wp:inline distT="0" distB="0" distL="114300" distR="114300">
            <wp:extent cx="5269230" cy="71247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 生猪价格分组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生猪价格分组为采购结算价格分组的基础设置。点击【增加同级】按钮，填写区域名称，保存即可。</w:t>
      </w:r>
    </w:p>
    <w:p>
      <w:r>
        <w:drawing>
          <wp:inline distT="0" distB="0" distL="114300" distR="114300">
            <wp:extent cx="5268595" cy="310769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分级按钮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分级按钮为量膘定级按钮的基础设置。点击增加按钮，输入按钮编码（在原有编码升序添加），按钮名称，选择白条分类，输入显示顺序（在原有顺序升序添加）。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180965" cy="39712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 xml:space="preserve"> 白条分级设置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白条分级设置是关联定级等级和销售等级的基础设置，同时分级控制采购结算降级规则。点击增加按钮，输入相关信息。</w:t>
      </w:r>
    </w:p>
    <w:p>
      <w:r>
        <w:drawing>
          <wp:inline distT="0" distB="0" distL="114300" distR="114300">
            <wp:extent cx="5273040" cy="47936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规则编码：按已有规则编码升序录入。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判定顺序：数值越小，优先级越高。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按钮等级：按钮等级指量膘定级时输入的等级。正常情况下按钮等级1-9级对应冷鲜带蹄白条1-5，A-D,一一对应，也就是定级按钮是“1级”，白条产品需要对应“冷鲜带蹄白条1级”。涉及降级规则时，白条产品选择</w:t>
      </w:r>
      <w:r>
        <w:rPr>
          <w:rFonts w:hint="eastAsia"/>
          <w:highlight w:val="red"/>
          <w:lang w:val="en-US" w:eastAsia="zh-CN"/>
        </w:rPr>
        <w:t>定级按钮降级后对应的白条产品</w:t>
      </w:r>
      <w:r>
        <w:rPr>
          <w:rFonts w:hint="eastAsia"/>
          <w:lang w:val="en-US" w:eastAsia="zh-CN"/>
        </w:rPr>
        <w:t>。如图所示：重量在59.9-67.9的1级白条，需要降级为4级，设置时，按钮等级为1级，白条产品需要设置为1级降为4级后所对应的白条产品，也就是4级所对应的白条产品——冷鲜带蹄白条4级。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启用重量判定：不包含起始重量，包含截止重量。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生猪品种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生猪品种是入场登记时选择生猪品种复选框的基础设置。点击增加按钮输入生猪品种名称，生猪品种编码（按已有编码升序添加），点击确定。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94906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五</w:t>
      </w:r>
      <w:r>
        <w:rPr>
          <w:rFonts w:hint="eastAsia"/>
          <w:lang w:val="en-US" w:eastAsia="zh-CN"/>
        </w:rPr>
        <w:t xml:space="preserve"> 扣项标准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扣项标准为采购结算执行结算扣项的基础设置。</w:t>
      </w:r>
    </w:p>
    <w:p>
      <w:pPr>
        <w:numPr>
          <w:numId w:val="0"/>
        </w:numPr>
      </w:pPr>
      <w:r>
        <w:drawing>
          <wp:inline distT="0" distB="0" distL="114300" distR="114300">
            <wp:extent cx="5104765" cy="30283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图一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104765" cy="30283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图二</w:t>
      </w:r>
    </w:p>
    <w:p>
      <w:pPr>
        <w:numPr>
          <w:numId w:val="0"/>
        </w:numPr>
        <w:jc w:val="center"/>
        <w:rPr>
          <w:rFonts w:hint="eastAsia"/>
          <w:lang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异常扣罚类型为“磅秤固定扣项”，扣减方式“按头扣钱”扣减数量为金额（图一）。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洗车费扣减类型为“毛猪头数扣项”，扣减方式“按车扣钱”需设置头数范围，同时勾选自动增加（图二）。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BBC72"/>
    <w:multiLevelType w:val="singleLevel"/>
    <w:tmpl w:val="8F0BBC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E7187"/>
    <w:rsid w:val="050030AF"/>
    <w:rsid w:val="05731E5F"/>
    <w:rsid w:val="426E718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2018-06-26T03:27:00Z</dcterms:created>
  <dc:creator>二十啷铛岁，而今幡然醒悟</dc:creator>
  <cp:lastModifiedBy>二十啷铛岁，而今幡然醒悟</cp:lastModifiedBy>
  <dcterms:modified xsi:type="dcterms:W3CDTF">2018-06-26T07:41:46Z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