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生产确认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085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highlight w:val="red"/>
          <w:lang w:val="en-US" w:eastAsia="zh-CN"/>
        </w:rPr>
        <w:t>送宰管理和品控扣项完成后</w:t>
      </w: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>，才能进行生产数据确认。</w:t>
      </w:r>
    </w:p>
    <w:p>
      <w:pPr>
        <w:numPr>
          <w:ilvl w:val="0"/>
          <w:numId w:val="0"/>
        </w:numPr>
        <w:tabs>
          <w:tab w:val="left" w:pos="1085"/>
        </w:tabs>
        <w:jc w:val="both"/>
        <w:outlineLvl w:val="9"/>
      </w:pPr>
      <w:r>
        <w:drawing>
          <wp:inline distT="0" distB="0" distL="114300" distR="114300">
            <wp:extent cx="5273675" cy="2466340"/>
            <wp:effectExtent l="0" t="0" r="317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6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85"/>
        </w:tabs>
        <w:jc w:val="both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生产数据确认，是对送宰数据与实际屠宰数据进行匹配，确认。核对当日送宰总数量与屠宰总数量是否一致，核对各标识号送宰总数量与屠宰总数量是否一致，数据一致后，才可提交确认。</w:t>
      </w:r>
    </w:p>
    <w:p>
      <w:pPr>
        <w:numPr>
          <w:ilvl w:val="0"/>
          <w:numId w:val="0"/>
        </w:numPr>
        <w:tabs>
          <w:tab w:val="left" w:pos="1085"/>
        </w:tabs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添加操作：点击添加按钮，编辑对话框。</w:t>
      </w:r>
      <w:r>
        <w:rPr>
          <w:rFonts w:hint="eastAsia"/>
          <w:highlight w:val="red"/>
          <w:lang w:eastAsia="zh-CN"/>
        </w:rPr>
        <w:t>注：产品简称与手工按钮一一对应，手工按钮</w:t>
      </w:r>
      <w:r>
        <w:rPr>
          <w:rFonts w:hint="eastAsia"/>
          <w:highlight w:val="red"/>
          <w:lang w:val="en-US" w:eastAsia="zh-CN"/>
        </w:rPr>
        <w:t>1-9级对应产品简称冷鲜带蹄白条1-5级及冷鲜带蹄白条A-D级。选择屠宰状态（正常，急宰）。销毁猪在生产确认添加时，等级为8级，屠宰状态选择正常。信息填写完毕，点击【自动重新定级】按钮，提交。</w:t>
      </w:r>
    </w:p>
    <w:p>
      <w:pPr>
        <w:numPr>
          <w:ilvl w:val="0"/>
          <w:numId w:val="0"/>
        </w:numPr>
        <w:tabs>
          <w:tab w:val="left" w:pos="1085"/>
        </w:tabs>
        <w:jc w:val="both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874645"/>
            <wp:effectExtent l="0" t="0" r="10795" b="19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>修改操作：选中要进行修改的数据，点击修改按钮。修改完成后，</w:t>
      </w: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highlight w:val="red"/>
          <w:lang w:val="en-US" w:eastAsia="zh-CN"/>
        </w:rPr>
        <w:t>点击【自动重新定级】</w:t>
      </w:r>
      <w:r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  <w:t>，点击提交。</w:t>
      </w:r>
    </w:p>
    <w:p>
      <w:pPr>
        <w:numPr>
          <w:ilvl w:val="0"/>
          <w:numId w:val="0"/>
        </w:numPr>
        <w:tabs>
          <w:tab w:val="left" w:pos="6366"/>
        </w:tabs>
        <w:jc w:val="both"/>
        <w:outlineLvl w:val="9"/>
        <w:rPr>
          <w:rFonts w:hint="eastAsia" w:ascii="仿宋" w:hAnsi="仿宋" w:eastAsia="仿宋" w:cs="仿宋"/>
          <w:b w:val="0"/>
          <w:bCs w:val="0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002790" cy="2482850"/>
            <wp:effectExtent l="0" t="0" r="16510" b="1270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279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 xml:space="preserve">                                                                 </w:t>
    </w:r>
    <w:r>
      <w:rPr>
        <w:rFonts w:hint="eastAsia" w:ascii="仿宋" w:hAnsi="仿宋" w:eastAsia="仿宋" w:cs="仿宋"/>
        <w:sz w:val="24"/>
        <w:szCs w:val="24"/>
        <w:lang w:val="en-US" w:eastAsia="zh-CN"/>
      </w:rPr>
      <w:t>成都云睿科技有限公司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607103"/>
    <w:rsid w:val="3960710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2018-06-23T07:02:00Z</dcterms:created>
  <dc:creator>二十啷铛岁，而今幡然醒悟</dc:creator>
  <cp:lastModifiedBy>二十啷铛岁，而今幡然醒悟</cp:lastModifiedBy>
  <dcterms:modified xsi:type="dcterms:W3CDTF">2018-06-23T07:03:51Z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