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Robotics — Annual Report 2043</w:t>
      </w:r>
    </w:p>
    <w:p>
      <w:r>
        <w:t>Total revenue for fiscal year 2043 reached 840 million EUR, a 15 percent increase over 2042. The robotics division accounted for 60 percent of revenue.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Quarterly revenue progression is shown above: Q1 40, Q2 60, Q3 80, and Q4 100 million EUR.</w:t>
      </w:r>
    </w:p>
    <w:p>
      <w:pPr>
        <w:pStyle w:val="Heading1"/>
      </w:pPr>
      <w:r>
        <w:t>Headcount</w:t>
      </w:r>
    </w:p>
    <w:p>
      <w:r>
        <w:t>The company ended 2043 with 1,240 employees, of whom 780 work in engineering. The Berlin office grew fastest, adding 95 people.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