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4C9B3" w14:textId="77777777" w:rsidR="00C30A51" w:rsidRPr="00C30A51" w:rsidRDefault="00C30A51" w:rsidP="00C30A51">
      <w:pPr>
        <w:rPr>
          <w:b/>
          <w:bCs/>
          <w:lang w:val="pt-PT"/>
        </w:rPr>
      </w:pPr>
      <w:r w:rsidRPr="00C30A51">
        <w:rPr>
          <w:b/>
          <w:bCs/>
          <w:lang w:val="pt-PT"/>
        </w:rPr>
        <w:t>1. Introdução e Objetivos</w:t>
      </w:r>
    </w:p>
    <w:p w14:paraId="2B4A8729" w14:textId="77777777" w:rsidR="00C30A51" w:rsidRPr="00C30A51" w:rsidRDefault="00C30A51" w:rsidP="00C30A51">
      <w:pPr>
        <w:rPr>
          <w:lang w:val="pt-PT"/>
        </w:rPr>
      </w:pPr>
      <w:r w:rsidRPr="00C30A51">
        <w:rPr>
          <w:lang w:val="pt-PT"/>
        </w:rPr>
        <w:t xml:space="preserve">Após a especificação do modelo de dados e a criação das rotas na API através do </w:t>
      </w:r>
      <w:proofErr w:type="spellStart"/>
      <w:r w:rsidRPr="00C30A51">
        <w:rPr>
          <w:lang w:val="pt-PT"/>
        </w:rPr>
        <w:t>LoopBack</w:t>
      </w:r>
      <w:proofErr w:type="spellEnd"/>
      <w:r w:rsidRPr="00C30A51">
        <w:rPr>
          <w:lang w:val="pt-PT"/>
        </w:rPr>
        <w:t xml:space="preserve"> 4, tornou-se necessária a criação de uma interface de utilizador (</w:t>
      </w:r>
      <w:proofErr w:type="spellStart"/>
      <w:r w:rsidRPr="00C30A51">
        <w:rPr>
          <w:lang w:val="pt-PT"/>
        </w:rPr>
        <w:t>Frontend</w:t>
      </w:r>
      <w:proofErr w:type="spellEnd"/>
      <w:r w:rsidRPr="00C30A51">
        <w:rPr>
          <w:lang w:val="pt-PT"/>
        </w:rPr>
        <w:t xml:space="preserve">) que permitisse à receção e à administração gerir o sistema de forma visual e intuitiva. </w:t>
      </w:r>
    </w:p>
    <w:p w14:paraId="652FED09" w14:textId="77777777" w:rsidR="00C30A51" w:rsidRDefault="00C30A51" w:rsidP="00C30A51">
      <w:pPr>
        <w:rPr>
          <w:lang w:val="pt-PT"/>
        </w:rPr>
      </w:pPr>
      <w:r w:rsidRPr="00C30A51">
        <w:rPr>
          <w:lang w:val="pt-PT"/>
        </w:rPr>
        <w:t xml:space="preserve">Para cumprir os requisitos técnicos da unidade curricular de </w:t>
      </w:r>
      <w:r w:rsidRPr="00C30A51">
        <w:rPr>
          <w:b/>
          <w:bCs/>
          <w:lang w:val="pt-PT"/>
        </w:rPr>
        <w:t>Sistemas de Informação e Base de Dados</w:t>
      </w:r>
      <w:r w:rsidRPr="00C30A51">
        <w:rPr>
          <w:lang w:val="pt-PT"/>
        </w:rPr>
        <w:t xml:space="preserve">, recorremos ao </w:t>
      </w:r>
      <w:proofErr w:type="spellStart"/>
      <w:r w:rsidRPr="00C30A51">
        <w:rPr>
          <w:i/>
          <w:iCs/>
          <w:lang w:val="pt-PT"/>
        </w:rPr>
        <w:t>framework</w:t>
      </w:r>
      <w:proofErr w:type="spellEnd"/>
      <w:r w:rsidRPr="00C30A51">
        <w:rPr>
          <w:lang w:val="pt-PT"/>
        </w:rPr>
        <w:t xml:space="preserve"> </w:t>
      </w:r>
      <w:proofErr w:type="spellStart"/>
      <w:r w:rsidRPr="00C30A51">
        <w:rPr>
          <w:b/>
          <w:bCs/>
          <w:lang w:val="pt-PT"/>
        </w:rPr>
        <w:t>React-Admin</w:t>
      </w:r>
      <w:proofErr w:type="spellEnd"/>
      <w:r w:rsidRPr="00C30A51">
        <w:rPr>
          <w:lang w:val="pt-PT"/>
        </w:rPr>
        <w:t xml:space="preserve">. O objetivo deste documento é relatar o processo de desenvolvimento e os desafios superados para pôr a interface a comunicar corretamente com o nosso </w:t>
      </w:r>
      <w:proofErr w:type="spellStart"/>
      <w:r w:rsidRPr="00C30A51">
        <w:rPr>
          <w:i/>
          <w:iCs/>
          <w:lang w:val="pt-PT"/>
        </w:rPr>
        <w:t>backend</w:t>
      </w:r>
      <w:proofErr w:type="spellEnd"/>
      <w:r w:rsidRPr="00C30A51">
        <w:rPr>
          <w:lang w:val="pt-PT"/>
        </w:rPr>
        <w:t xml:space="preserve">. </w:t>
      </w:r>
    </w:p>
    <w:p w14:paraId="181718B7" w14:textId="77777777" w:rsidR="00C30A51" w:rsidRPr="00C30A51" w:rsidRDefault="00C30A51" w:rsidP="00C30A51">
      <w:pPr>
        <w:rPr>
          <w:lang w:val="pt-PT"/>
        </w:rPr>
      </w:pPr>
    </w:p>
    <w:p w14:paraId="7AA5547F" w14:textId="77777777" w:rsidR="00C30A51" w:rsidRPr="00C30A51" w:rsidRDefault="00C30A51" w:rsidP="00C30A51">
      <w:pPr>
        <w:rPr>
          <w:b/>
          <w:bCs/>
          <w:lang w:val="pt-PT"/>
        </w:rPr>
      </w:pPr>
      <w:r w:rsidRPr="00C30A51">
        <w:rPr>
          <w:b/>
          <w:bCs/>
          <w:lang w:val="pt-PT"/>
        </w:rPr>
        <w:t>2. Estrutura de Componentes e Interface Visual</w:t>
      </w:r>
    </w:p>
    <w:p w14:paraId="33A7915C" w14:textId="77777777" w:rsidR="00C30A51" w:rsidRPr="00C30A51" w:rsidRDefault="00C30A51" w:rsidP="00C30A51">
      <w:pPr>
        <w:rPr>
          <w:lang w:val="pt-PT"/>
        </w:rPr>
      </w:pPr>
      <w:r w:rsidRPr="00C30A51">
        <w:rPr>
          <w:lang w:val="pt-PT"/>
        </w:rPr>
        <w:t>Para garantir uma experiência de utilização profissional e organizada, o desenvolvimento focou-se em quatro pilares visuais e funcionais:</w:t>
      </w:r>
    </w:p>
    <w:p w14:paraId="3E804E9D" w14:textId="77777777" w:rsidR="00C30A51" w:rsidRPr="00C30A51" w:rsidRDefault="00C30A51" w:rsidP="00C30A51">
      <w:pPr>
        <w:numPr>
          <w:ilvl w:val="0"/>
          <w:numId w:val="1"/>
        </w:numPr>
        <w:rPr>
          <w:lang w:val="pt-PT"/>
        </w:rPr>
      </w:pPr>
      <w:proofErr w:type="spellStart"/>
      <w:r w:rsidRPr="00C30A51">
        <w:rPr>
          <w:b/>
          <w:bCs/>
          <w:lang w:val="pt-PT"/>
        </w:rPr>
        <w:t>Dashboard</w:t>
      </w:r>
      <w:proofErr w:type="spellEnd"/>
      <w:r w:rsidRPr="00C30A51">
        <w:rPr>
          <w:b/>
          <w:bCs/>
          <w:lang w:val="pt-PT"/>
        </w:rPr>
        <w:t xml:space="preserve"> Inicial:</w:t>
      </w:r>
      <w:r w:rsidRPr="00C30A51">
        <w:rPr>
          <w:lang w:val="pt-PT"/>
        </w:rPr>
        <w:t xml:space="preserve"> Criámos um ecrã de boas-vindas utilizando componentes da biblioteca Material UI (</w:t>
      </w:r>
      <w:proofErr w:type="spellStart"/>
      <w:r w:rsidRPr="00C30A51">
        <w:rPr>
          <w:lang w:val="pt-PT"/>
        </w:rPr>
        <w:t>Card</w:t>
      </w:r>
      <w:proofErr w:type="spellEnd"/>
      <w:r w:rsidRPr="00C30A51">
        <w:rPr>
          <w:lang w:val="pt-PT"/>
        </w:rPr>
        <w:t xml:space="preserve">, </w:t>
      </w:r>
      <w:proofErr w:type="spellStart"/>
      <w:r w:rsidRPr="00C30A51">
        <w:rPr>
          <w:lang w:val="pt-PT"/>
        </w:rPr>
        <w:t>CardHeader</w:t>
      </w:r>
      <w:proofErr w:type="spellEnd"/>
      <w:r w:rsidRPr="00C30A51">
        <w:rPr>
          <w:lang w:val="pt-PT"/>
        </w:rPr>
        <w:t xml:space="preserve"> e </w:t>
      </w:r>
      <w:proofErr w:type="spellStart"/>
      <w:r w:rsidRPr="00C30A51">
        <w:rPr>
          <w:lang w:val="pt-PT"/>
        </w:rPr>
        <w:t>CardContent</w:t>
      </w:r>
      <w:proofErr w:type="spellEnd"/>
      <w:r w:rsidRPr="00C30A51">
        <w:rPr>
          <w:lang w:val="pt-PT"/>
        </w:rPr>
        <w:t>). Este ecrã serve de ponto de entrada no sistema e contextualiza as operações da clínica.</w:t>
      </w:r>
    </w:p>
    <w:p w14:paraId="5B54AEDB" w14:textId="77777777" w:rsidR="00C30A51" w:rsidRPr="00C30A51" w:rsidRDefault="00C30A51" w:rsidP="00C30A51">
      <w:pPr>
        <w:numPr>
          <w:ilvl w:val="0"/>
          <w:numId w:val="1"/>
        </w:numPr>
        <w:rPr>
          <w:lang w:val="pt-PT"/>
        </w:rPr>
      </w:pPr>
      <w:r w:rsidRPr="00C30A51">
        <w:rPr>
          <w:b/>
          <w:bCs/>
          <w:lang w:val="pt-PT"/>
        </w:rPr>
        <w:t>Menu Lateral com Ícones Customizados:</w:t>
      </w:r>
      <w:r w:rsidRPr="00C30A51">
        <w:rPr>
          <w:lang w:val="pt-PT"/>
        </w:rPr>
        <w:t xml:space="preserve"> Para facilitar a navegação rápida, integrámos a biblioteca @mui/icons-material. Cada uma das cinco entidades centrais do nosso modelo de dados recebeu um ícone representativo e específico (</w:t>
      </w:r>
      <w:proofErr w:type="spellStart"/>
      <w:r w:rsidRPr="00C30A51">
        <w:rPr>
          <w:lang w:val="pt-PT"/>
        </w:rPr>
        <w:t>ex</w:t>
      </w:r>
      <w:proofErr w:type="spellEnd"/>
      <w:r w:rsidRPr="00C30A51">
        <w:rPr>
          <w:lang w:val="pt-PT"/>
        </w:rPr>
        <w:t xml:space="preserve">: </w:t>
      </w:r>
      <w:proofErr w:type="spellStart"/>
      <w:r w:rsidRPr="00C30A51">
        <w:rPr>
          <w:lang w:val="pt-PT"/>
        </w:rPr>
        <w:t>LocalHospitalIcon</w:t>
      </w:r>
      <w:proofErr w:type="spellEnd"/>
      <w:r w:rsidRPr="00C30A51">
        <w:rPr>
          <w:lang w:val="pt-PT"/>
        </w:rPr>
        <w:t xml:space="preserve"> para as Especialidades e </w:t>
      </w:r>
      <w:proofErr w:type="spellStart"/>
      <w:r w:rsidRPr="00C30A51">
        <w:rPr>
          <w:lang w:val="pt-PT"/>
        </w:rPr>
        <w:t>PeopleIcon</w:t>
      </w:r>
      <w:proofErr w:type="spellEnd"/>
      <w:r w:rsidRPr="00C30A51">
        <w:rPr>
          <w:lang w:val="pt-PT"/>
        </w:rPr>
        <w:t xml:space="preserve"> para os Pacientes). </w:t>
      </w:r>
    </w:p>
    <w:p w14:paraId="5AC4EEE2" w14:textId="77777777" w:rsidR="00C30A51" w:rsidRPr="00C30A51" w:rsidRDefault="00C30A51" w:rsidP="00C30A51">
      <w:pPr>
        <w:numPr>
          <w:ilvl w:val="0"/>
          <w:numId w:val="1"/>
        </w:numPr>
        <w:rPr>
          <w:lang w:val="pt-PT"/>
        </w:rPr>
      </w:pPr>
      <w:r w:rsidRPr="00C30A51">
        <w:rPr>
          <w:b/>
          <w:bCs/>
          <w:lang w:val="pt-PT"/>
        </w:rPr>
        <w:t>Formulários de Criação e Edição:</w:t>
      </w:r>
      <w:r w:rsidRPr="00C30A51">
        <w:rPr>
          <w:lang w:val="pt-PT"/>
        </w:rPr>
        <w:t xml:space="preserve"> Substituímos o comportamento padrão de clique na linha (</w:t>
      </w:r>
      <w:proofErr w:type="spellStart"/>
      <w:r w:rsidRPr="00C30A51">
        <w:rPr>
          <w:lang w:val="pt-PT"/>
        </w:rPr>
        <w:t>rowClick</w:t>
      </w:r>
      <w:proofErr w:type="spellEnd"/>
      <w:r w:rsidRPr="00C30A51">
        <w:rPr>
          <w:lang w:val="pt-PT"/>
        </w:rPr>
        <w:t>="</w:t>
      </w:r>
      <w:proofErr w:type="spellStart"/>
      <w:r w:rsidRPr="00C30A51">
        <w:rPr>
          <w:lang w:val="pt-PT"/>
        </w:rPr>
        <w:t>edit</w:t>
      </w:r>
      <w:proofErr w:type="spellEnd"/>
      <w:r w:rsidRPr="00C30A51">
        <w:rPr>
          <w:lang w:val="pt-PT"/>
        </w:rPr>
        <w:t>") por botões explícitos de ação (&lt;</w:t>
      </w:r>
      <w:proofErr w:type="spellStart"/>
      <w:r w:rsidRPr="00C30A51">
        <w:rPr>
          <w:lang w:val="pt-PT"/>
        </w:rPr>
        <w:t>EditButton</w:t>
      </w:r>
      <w:proofErr w:type="spellEnd"/>
      <w:r w:rsidRPr="00C30A51">
        <w:rPr>
          <w:lang w:val="pt-PT"/>
        </w:rPr>
        <w:t xml:space="preserve"> /&gt;) no final de cada tabela. Cada entidade foi mapeada com os seus campos exatos (textos e números) usando inputs adequados, garantindo que o ID fica desativado (</w:t>
      </w:r>
      <w:proofErr w:type="spellStart"/>
      <w:r w:rsidRPr="00C30A51">
        <w:rPr>
          <w:lang w:val="pt-PT"/>
        </w:rPr>
        <w:t>disabled</w:t>
      </w:r>
      <w:proofErr w:type="spellEnd"/>
      <w:r w:rsidRPr="00C30A51">
        <w:rPr>
          <w:lang w:val="pt-PT"/>
        </w:rPr>
        <w:t>) durante a edição para proteger a integridade dos dados.</w:t>
      </w:r>
    </w:p>
    <w:p w14:paraId="500D4072" w14:textId="54E3ADD7" w:rsidR="00C30A51" w:rsidRPr="00C30A51" w:rsidRDefault="00C30A51" w:rsidP="00C30A51">
      <w:pPr>
        <w:numPr>
          <w:ilvl w:val="0"/>
          <w:numId w:val="1"/>
        </w:numPr>
        <w:rPr>
          <w:lang w:val="pt-PT"/>
        </w:rPr>
      </w:pPr>
      <w:r w:rsidRPr="00C30A51">
        <w:rPr>
          <w:b/>
          <w:bCs/>
          <w:lang w:val="pt-PT"/>
        </w:rPr>
        <w:t>Filtros Visuais de Pesquisa:</w:t>
      </w:r>
      <w:r w:rsidRPr="00C30A51">
        <w:rPr>
          <w:lang w:val="pt-PT"/>
        </w:rPr>
        <w:t xml:space="preserve"> Seguindo a estrutura metodológica lecionada n</w:t>
      </w:r>
      <w:r>
        <w:rPr>
          <w:lang w:val="pt-PT"/>
        </w:rPr>
        <w:t>esta unidade curricular</w:t>
      </w:r>
      <w:r w:rsidRPr="00C30A51">
        <w:rPr>
          <w:lang w:val="pt-PT"/>
        </w:rPr>
        <w:t>, criámos componentes de filtragem (&lt;</w:t>
      </w:r>
      <w:proofErr w:type="spellStart"/>
      <w:r w:rsidRPr="00C30A51">
        <w:rPr>
          <w:lang w:val="pt-PT"/>
        </w:rPr>
        <w:t>Filter</w:t>
      </w:r>
      <w:proofErr w:type="spellEnd"/>
      <w:r w:rsidRPr="00C30A51">
        <w:rPr>
          <w:lang w:val="pt-PT"/>
        </w:rPr>
        <w:t>&gt;) com caixas de texto ativas por padrão (</w:t>
      </w:r>
      <w:proofErr w:type="spellStart"/>
      <w:r w:rsidRPr="00C30A51">
        <w:rPr>
          <w:lang w:val="pt-PT"/>
        </w:rPr>
        <w:t>alwaysOn</w:t>
      </w:r>
      <w:proofErr w:type="spellEnd"/>
      <w:r w:rsidRPr="00C30A51">
        <w:rPr>
          <w:lang w:val="pt-PT"/>
        </w:rPr>
        <w:t>). Estes filtros foram acoplados a todas as listagens para permitir uma futura expansão de pesquisas na base de dados.</w:t>
      </w:r>
    </w:p>
    <w:p w14:paraId="7E46D86A" w14:textId="77777777" w:rsidR="00C30A51" w:rsidRDefault="00C30A51" w:rsidP="00C30A51">
      <w:pPr>
        <w:rPr>
          <w:b/>
          <w:bCs/>
          <w:lang w:val="pt-PT"/>
        </w:rPr>
      </w:pPr>
    </w:p>
    <w:p w14:paraId="59DC6331" w14:textId="77777777" w:rsidR="00C30A51" w:rsidRDefault="00C30A51" w:rsidP="00C30A51">
      <w:pPr>
        <w:rPr>
          <w:b/>
          <w:bCs/>
          <w:lang w:val="pt-PT"/>
        </w:rPr>
      </w:pPr>
    </w:p>
    <w:p w14:paraId="13D30B5F" w14:textId="77777777" w:rsidR="00C30A51" w:rsidRDefault="00C30A51" w:rsidP="00C30A51">
      <w:pPr>
        <w:rPr>
          <w:b/>
          <w:bCs/>
          <w:lang w:val="pt-PT"/>
        </w:rPr>
      </w:pPr>
    </w:p>
    <w:p w14:paraId="07623BEF" w14:textId="77777777" w:rsidR="00C30A51" w:rsidRDefault="00C30A51" w:rsidP="00C30A51">
      <w:pPr>
        <w:rPr>
          <w:b/>
          <w:bCs/>
          <w:lang w:val="pt-PT"/>
        </w:rPr>
      </w:pPr>
    </w:p>
    <w:p w14:paraId="03987E53" w14:textId="77777777" w:rsidR="00C30A51" w:rsidRDefault="00C30A51" w:rsidP="00C30A51">
      <w:pPr>
        <w:rPr>
          <w:b/>
          <w:bCs/>
          <w:lang w:val="pt-PT"/>
        </w:rPr>
      </w:pPr>
    </w:p>
    <w:p w14:paraId="276E4848" w14:textId="5EA1E344" w:rsidR="00C30A51" w:rsidRPr="00C30A51" w:rsidRDefault="00C30A51" w:rsidP="00C30A51">
      <w:pPr>
        <w:rPr>
          <w:b/>
          <w:bCs/>
          <w:lang w:val="pt-PT"/>
        </w:rPr>
      </w:pPr>
      <w:r w:rsidRPr="00C30A51">
        <w:rPr>
          <w:b/>
          <w:bCs/>
          <w:lang w:val="pt-PT"/>
        </w:rPr>
        <w:t>3. Adaptação do Motor de Dados (</w:t>
      </w:r>
      <w:proofErr w:type="spellStart"/>
      <w:r w:rsidRPr="00C30A51">
        <w:rPr>
          <w:b/>
          <w:bCs/>
          <w:lang w:val="pt-PT"/>
        </w:rPr>
        <w:t>dataProvider</w:t>
      </w:r>
      <w:proofErr w:type="spellEnd"/>
      <w:r w:rsidRPr="00C30A51">
        <w:rPr>
          <w:b/>
          <w:bCs/>
          <w:lang w:val="pt-PT"/>
        </w:rPr>
        <w:t>)</w:t>
      </w:r>
    </w:p>
    <w:p w14:paraId="4CD7B717" w14:textId="77777777" w:rsidR="00C30A51" w:rsidRPr="00C30A51" w:rsidRDefault="00C30A51" w:rsidP="00C30A51">
      <w:pPr>
        <w:rPr>
          <w:lang w:val="pt-PT"/>
        </w:rPr>
      </w:pPr>
      <w:r w:rsidRPr="00C30A51">
        <w:rPr>
          <w:lang w:val="pt-PT"/>
        </w:rPr>
        <w:t xml:space="preserve">O maior desafio técnico do projeto prendeu-se com o "contrato" de comunicação entre o ecossistema do </w:t>
      </w:r>
      <w:proofErr w:type="spellStart"/>
      <w:r w:rsidRPr="00C30A51">
        <w:rPr>
          <w:lang w:val="pt-PT"/>
        </w:rPr>
        <w:t>React-Admin</w:t>
      </w:r>
      <w:proofErr w:type="spellEnd"/>
      <w:r w:rsidRPr="00C30A51">
        <w:rPr>
          <w:lang w:val="pt-PT"/>
        </w:rPr>
        <w:t xml:space="preserve"> e o comportamento das rotas geradas pelo </w:t>
      </w:r>
      <w:proofErr w:type="spellStart"/>
      <w:r w:rsidRPr="00C30A51">
        <w:rPr>
          <w:lang w:val="pt-PT"/>
        </w:rPr>
        <w:t>LoopBack</w:t>
      </w:r>
      <w:proofErr w:type="spellEnd"/>
      <w:r w:rsidRPr="00C30A51">
        <w:rPr>
          <w:lang w:val="pt-PT"/>
        </w:rPr>
        <w:t xml:space="preserve"> 4. O conector genérico inicial (ra-data-loopback4) apresentou falhas ao tentar mapear operações individuais e chaves primárias.</w:t>
      </w:r>
    </w:p>
    <w:p w14:paraId="0A97CB65" w14:textId="77777777" w:rsidR="00C30A51" w:rsidRPr="00C30A51" w:rsidRDefault="00C30A51" w:rsidP="00C30A51">
      <w:pPr>
        <w:rPr>
          <w:lang w:val="pt-PT"/>
        </w:rPr>
      </w:pPr>
      <w:r w:rsidRPr="00C30A51">
        <w:rPr>
          <w:lang w:val="pt-PT"/>
        </w:rPr>
        <w:t xml:space="preserve">Para contornar esta limitação sem alterar o comportamento do servidor, desenvolvemos um </w:t>
      </w:r>
      <w:proofErr w:type="spellStart"/>
      <w:r w:rsidRPr="00C30A51">
        <w:rPr>
          <w:lang w:val="pt-PT"/>
        </w:rPr>
        <w:t>dataProvider</w:t>
      </w:r>
      <w:proofErr w:type="spellEnd"/>
      <w:r w:rsidRPr="00C30A51">
        <w:rPr>
          <w:lang w:val="pt-PT"/>
        </w:rPr>
        <w:t xml:space="preserve"> customizado no ficheiro </w:t>
      </w:r>
      <w:proofErr w:type="spellStart"/>
      <w:r w:rsidRPr="00C30A51">
        <w:rPr>
          <w:lang w:val="pt-PT"/>
        </w:rPr>
        <w:t>App.tsx</w:t>
      </w:r>
      <w:proofErr w:type="spellEnd"/>
      <w:r w:rsidRPr="00C30A51">
        <w:rPr>
          <w:lang w:val="pt-PT"/>
        </w:rPr>
        <w:t xml:space="preserve"> que expande o conector base através de mecanismos de tratamento de erros (</w:t>
      </w:r>
      <w:proofErr w:type="spellStart"/>
      <w:r w:rsidRPr="00C30A51">
        <w:rPr>
          <w:lang w:val="pt-PT"/>
        </w:rPr>
        <w:t>try</w:t>
      </w:r>
      <w:proofErr w:type="spellEnd"/>
      <w:r w:rsidRPr="00C30A51">
        <w:rPr>
          <w:lang w:val="pt-PT"/>
        </w:rPr>
        <w:t>/</w:t>
      </w:r>
      <w:proofErr w:type="spellStart"/>
      <w:r w:rsidRPr="00C30A51">
        <w:rPr>
          <w:lang w:val="pt-PT"/>
        </w:rPr>
        <w:t>catch</w:t>
      </w:r>
      <w:proofErr w:type="spellEnd"/>
      <w:r w:rsidRPr="00C30A51">
        <w:rPr>
          <w:lang w:val="pt-PT"/>
        </w:rPr>
        <w:t>):</w:t>
      </w:r>
    </w:p>
    <w:p w14:paraId="7C629397" w14:textId="77777777" w:rsidR="00C30A51" w:rsidRPr="00C30A51" w:rsidRDefault="00C30A51" w:rsidP="00C30A51">
      <w:pPr>
        <w:numPr>
          <w:ilvl w:val="0"/>
          <w:numId w:val="2"/>
        </w:numPr>
        <w:rPr>
          <w:lang w:val="pt-PT"/>
        </w:rPr>
      </w:pPr>
      <w:proofErr w:type="spellStart"/>
      <w:r w:rsidRPr="00C30A51">
        <w:rPr>
          <w:b/>
          <w:bCs/>
          <w:lang w:val="pt-PT"/>
        </w:rPr>
        <w:t>getList</w:t>
      </w:r>
      <w:proofErr w:type="spellEnd"/>
      <w:r w:rsidRPr="00C30A51">
        <w:rPr>
          <w:b/>
          <w:bCs/>
          <w:lang w:val="pt-PT"/>
        </w:rPr>
        <w:t>:</w:t>
      </w:r>
      <w:r w:rsidRPr="00C30A51">
        <w:rPr>
          <w:lang w:val="pt-PT"/>
        </w:rPr>
        <w:t xml:space="preserve"> Garante o carregamento das tabelas mesmo perante divergências na paginação, assegurando que o atributo de identificação de cada registo (seja id ou _id) é corretamente interpretado pelo </w:t>
      </w:r>
      <w:proofErr w:type="spellStart"/>
      <w:r w:rsidRPr="00C30A51">
        <w:rPr>
          <w:lang w:val="pt-PT"/>
        </w:rPr>
        <w:t>React-Admin</w:t>
      </w:r>
      <w:proofErr w:type="spellEnd"/>
      <w:r w:rsidRPr="00C30A51">
        <w:rPr>
          <w:lang w:val="pt-PT"/>
        </w:rPr>
        <w:t>.</w:t>
      </w:r>
    </w:p>
    <w:p w14:paraId="6CC50702" w14:textId="7A939B11" w:rsidR="00C30A51" w:rsidRPr="00C30A51" w:rsidRDefault="00C30A51" w:rsidP="00C30A51">
      <w:pPr>
        <w:numPr>
          <w:ilvl w:val="0"/>
          <w:numId w:val="2"/>
        </w:numPr>
        <w:rPr>
          <w:lang w:val="pt-PT"/>
        </w:rPr>
      </w:pPr>
      <w:proofErr w:type="spellStart"/>
      <w:r w:rsidRPr="00C30A51">
        <w:rPr>
          <w:b/>
          <w:bCs/>
          <w:lang w:val="pt-PT"/>
        </w:rPr>
        <w:t>getOne</w:t>
      </w:r>
      <w:proofErr w:type="spellEnd"/>
      <w:r w:rsidRPr="00C30A51">
        <w:rPr>
          <w:b/>
          <w:bCs/>
          <w:lang w:val="pt-PT"/>
        </w:rPr>
        <w:t>:</w:t>
      </w:r>
      <w:r w:rsidRPr="00C30A51">
        <w:rPr>
          <w:lang w:val="pt-PT"/>
        </w:rPr>
        <w:t xml:space="preserve"> Corrige a falha "</w:t>
      </w:r>
      <w:proofErr w:type="spellStart"/>
      <w:r w:rsidRPr="00C30A51">
        <w:rPr>
          <w:lang w:val="pt-PT"/>
        </w:rPr>
        <w:t>Element</w:t>
      </w:r>
      <w:proofErr w:type="spellEnd"/>
      <w:r w:rsidRPr="00C30A51">
        <w:rPr>
          <w:lang w:val="pt-PT"/>
        </w:rPr>
        <w:t xml:space="preserve"> does </w:t>
      </w:r>
      <w:proofErr w:type="spellStart"/>
      <w:r w:rsidRPr="00C30A51">
        <w:rPr>
          <w:lang w:val="pt-PT"/>
        </w:rPr>
        <w:t>not</w:t>
      </w:r>
      <w:proofErr w:type="spellEnd"/>
      <w:r w:rsidRPr="00C30A51">
        <w:rPr>
          <w:lang w:val="pt-PT"/>
        </w:rPr>
        <w:t xml:space="preserve"> </w:t>
      </w:r>
      <w:proofErr w:type="spellStart"/>
      <w:r w:rsidRPr="00C30A51">
        <w:rPr>
          <w:lang w:val="pt-PT"/>
        </w:rPr>
        <w:t>exist</w:t>
      </w:r>
      <w:proofErr w:type="spellEnd"/>
      <w:r w:rsidRPr="00C30A51">
        <w:rPr>
          <w:lang w:val="pt-PT"/>
        </w:rPr>
        <w:t>"</w:t>
      </w:r>
      <w:r w:rsidR="00E22AE7">
        <w:rPr>
          <w:lang w:val="pt-PT"/>
        </w:rPr>
        <w:t xml:space="preserve"> que era um erro que estava a persistir,</w:t>
      </w:r>
      <w:r w:rsidRPr="00C30A51">
        <w:rPr>
          <w:lang w:val="pt-PT"/>
        </w:rPr>
        <w:t xml:space="preserve"> mapeando o ID diretamente no caminho do pedido HTTP (/${</w:t>
      </w:r>
      <w:proofErr w:type="spellStart"/>
      <w:r w:rsidRPr="00C30A51">
        <w:rPr>
          <w:lang w:val="pt-PT"/>
        </w:rPr>
        <w:t>resource</w:t>
      </w:r>
      <w:proofErr w:type="spellEnd"/>
      <w:r w:rsidRPr="00C30A51">
        <w:rPr>
          <w:lang w:val="pt-PT"/>
        </w:rPr>
        <w:t xml:space="preserve">}/${params.id}), permitindo ao formulário ler os dados corretos de um único paciente ou médico. </w:t>
      </w:r>
    </w:p>
    <w:p w14:paraId="77E077D0" w14:textId="706F13B5" w:rsidR="00C30A51" w:rsidRPr="00C30A51" w:rsidRDefault="00C30A51" w:rsidP="00C30A51">
      <w:pPr>
        <w:numPr>
          <w:ilvl w:val="0"/>
          <w:numId w:val="2"/>
        </w:numPr>
        <w:rPr>
          <w:lang w:val="pt-PT"/>
        </w:rPr>
      </w:pPr>
      <w:proofErr w:type="spellStart"/>
      <w:r w:rsidRPr="00C30A51">
        <w:rPr>
          <w:b/>
          <w:bCs/>
          <w:lang w:val="pt-PT"/>
        </w:rPr>
        <w:t>update</w:t>
      </w:r>
      <w:proofErr w:type="spellEnd"/>
      <w:r w:rsidRPr="00C30A51">
        <w:rPr>
          <w:b/>
          <w:bCs/>
          <w:lang w:val="pt-PT"/>
        </w:rPr>
        <w:t xml:space="preserve"> e </w:t>
      </w:r>
      <w:proofErr w:type="spellStart"/>
      <w:r w:rsidRPr="00C30A51">
        <w:rPr>
          <w:b/>
          <w:bCs/>
          <w:lang w:val="pt-PT"/>
        </w:rPr>
        <w:t>create</w:t>
      </w:r>
      <w:proofErr w:type="spellEnd"/>
      <w:r w:rsidRPr="00C30A51">
        <w:rPr>
          <w:b/>
          <w:bCs/>
          <w:lang w:val="pt-PT"/>
        </w:rPr>
        <w:t>:</w:t>
      </w:r>
      <w:r w:rsidRPr="00C30A51">
        <w:rPr>
          <w:lang w:val="pt-PT"/>
        </w:rPr>
        <w:t xml:space="preserve"> Implementam os métodos HTTP </w:t>
      </w:r>
      <w:r w:rsidRPr="00C30A51">
        <w:rPr>
          <w:b/>
          <w:bCs/>
          <w:lang w:val="pt-PT"/>
        </w:rPr>
        <w:t>PUT</w:t>
      </w:r>
      <w:r w:rsidRPr="00C30A51">
        <w:rPr>
          <w:lang w:val="pt-PT"/>
        </w:rPr>
        <w:t xml:space="preserve"> e </w:t>
      </w:r>
      <w:r w:rsidRPr="00C30A51">
        <w:rPr>
          <w:b/>
          <w:bCs/>
          <w:lang w:val="pt-PT"/>
        </w:rPr>
        <w:t>POST</w:t>
      </w:r>
      <w:r w:rsidRPr="00C30A51">
        <w:rPr>
          <w:lang w:val="pt-PT"/>
        </w:rPr>
        <w:t>, respetivamente. Através do envio de cabeçalhos em formato JSON, o sistema passou a ser capaz de injetar novos dados na API ou atualizar o estado de consultas e registos já existentes de forma imediata.</w:t>
      </w:r>
    </w:p>
    <w:sectPr w:rsidR="00C30A51" w:rsidRPr="00C30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42F06"/>
    <w:multiLevelType w:val="multilevel"/>
    <w:tmpl w:val="7020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D66BA"/>
    <w:multiLevelType w:val="multilevel"/>
    <w:tmpl w:val="54C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99138">
    <w:abstractNumId w:val="1"/>
  </w:num>
  <w:num w:numId="2" w16cid:durableId="188266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51"/>
    <w:rsid w:val="000E6CAB"/>
    <w:rsid w:val="00856982"/>
    <w:rsid w:val="00C25E09"/>
    <w:rsid w:val="00C30A51"/>
    <w:rsid w:val="00D5759E"/>
    <w:rsid w:val="00DF452C"/>
    <w:rsid w:val="00E2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A0058"/>
  <w15:chartTrackingRefBased/>
  <w15:docId w15:val="{43B0B22D-04BC-1B4A-AD8A-1D3D01F1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0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Filipe da Rocha Pinto</dc:creator>
  <cp:keywords/>
  <dc:description/>
  <cp:lastModifiedBy>André Filipe da Rocha Pinto</cp:lastModifiedBy>
  <cp:revision>2</cp:revision>
  <dcterms:created xsi:type="dcterms:W3CDTF">2026-06-15T22:47:00Z</dcterms:created>
  <dcterms:modified xsi:type="dcterms:W3CDTF">2026-06-15T22:47:00Z</dcterms:modified>
</cp:coreProperties>
</file>