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  <w:color w:val="1f1f1f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highlight w:val="white"/>
          <w:rtl w:val="0"/>
        </w:rPr>
        <w:t xml:space="preserve">Title</w:t>
      </w:r>
      <w:r w:rsidDel="00000000" w:rsidR="00000000" w:rsidRPr="00000000">
        <w:rPr>
          <w:rFonts w:ascii="Roboto" w:cs="Roboto" w:eastAsia="Roboto" w:hAnsi="Roboto"/>
          <w:color w:val="1f1f1f"/>
          <w:highlight w:val="white"/>
          <w:rtl w:val="0"/>
        </w:rPr>
        <w:t xml:space="preserve">: Tracking movements of avian vocalization with machine learning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color w:val="1f1f1f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highlight w:val="white"/>
          <w:rtl w:val="0"/>
        </w:rPr>
        <w:t xml:space="preserve">Authors</w:t>
      </w:r>
      <w:r w:rsidDel="00000000" w:rsidR="00000000" w:rsidRPr="00000000">
        <w:rPr>
          <w:rFonts w:ascii="Roboto" w:cs="Roboto" w:eastAsia="Roboto" w:hAnsi="Roboto"/>
          <w:color w:val="1f1f1f"/>
          <w:highlight w:val="white"/>
          <w:rtl w:val="0"/>
        </w:rPr>
        <w:t xml:space="preserve">: Tyler Marino, Kelsey Stilson and Pauline Provini</w:t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  <w:color w:val="1f1f1f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highlight w:val="white"/>
          <w:rtl w:val="0"/>
        </w:rPr>
        <w:t xml:space="preserve">Conference</w:t>
      </w:r>
      <w:r w:rsidDel="00000000" w:rsidR="00000000" w:rsidRPr="00000000">
        <w:rPr>
          <w:rFonts w:ascii="Roboto" w:cs="Roboto" w:eastAsia="Roboto" w:hAnsi="Roboto"/>
          <w:color w:val="1f1f1f"/>
          <w:highlight w:val="white"/>
          <w:rtl w:val="0"/>
        </w:rPr>
        <w:t xml:space="preserve">: The Young International Researcher’s Conference of the Museum and</w:t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  <w:color w:val="1f1f1f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highlight w:val="white"/>
          <w:rtl w:val="0"/>
        </w:rPr>
        <w:t xml:space="preserve">Sorbonne University (CJCMS)</w:t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  <w:color w:val="1f1f1f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highlight w:val="white"/>
          <w:rtl w:val="0"/>
        </w:rPr>
        <w:t xml:space="preserve">Presentation Type</w:t>
      </w:r>
      <w:r w:rsidDel="00000000" w:rsidR="00000000" w:rsidRPr="00000000">
        <w:rPr>
          <w:rFonts w:ascii="Roboto" w:cs="Roboto" w:eastAsia="Roboto" w:hAnsi="Roboto"/>
          <w:color w:val="1f1f1f"/>
          <w:highlight w:val="white"/>
          <w:rtl w:val="0"/>
        </w:rPr>
        <w:t xml:space="preserve">: Flash Talk (3 min)</w:t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  <w:color w:val="1f1f1f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highlight w:val="white"/>
          <w:rtl w:val="0"/>
        </w:rPr>
        <w:t xml:space="preserve">Abstract</w:t>
      </w:r>
      <w:r w:rsidDel="00000000" w:rsidR="00000000" w:rsidRPr="00000000">
        <w:rPr>
          <w:rFonts w:ascii="Roboto" w:cs="Roboto" w:eastAsia="Roboto" w:hAnsi="Roboto"/>
          <w:color w:val="1f1f1f"/>
          <w:highlight w:val="white"/>
          <w:rtl w:val="0"/>
        </w:rPr>
        <w:t xml:space="preserve">: </w:t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highlight w:val="white"/>
          <w:rtl w:val="0"/>
        </w:rPr>
        <w:t xml:space="preserve">Studying animal behavior has historically involved detailed descriptions, quantification of light camera images, and lots of time.</w:t>
      </w:r>
      <w:r w:rsidDel="00000000" w:rsidR="00000000" w:rsidRPr="00000000">
        <w:rPr>
          <w:rFonts w:ascii="Roboto" w:cs="Roboto" w:eastAsia="Roboto" w:hAnsi="Roboto"/>
          <w:color w:val="1f1f1f"/>
          <w:highlight w:val="whit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highlight w:val="white"/>
          <w:rtl w:val="0"/>
        </w:rPr>
        <w:t xml:space="preserve">The Biplanar cineradiographic system at the Muséum national d’Histoire naturelle provides a unique addition to this process through X-ray video capturing 2D movement over time. Recovery of the 3D scene is possible and allows for spatial-temporal tracking of key anatomical structures providing a sight into biomechanical variation within and across avian species. Current reconstruction methods require a significant amount of manual data labeling and/or large computational cost resulting in a ‘bottleneck’. By adapting the lab’s workflow to process the current data for 19 birds of 2 species over a combined 95,000 frames,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we test the capability of generalist vs specific tuning of a machine learning algorithm (DeepLabCut). I </w:t>
      </w:r>
      <w:r w:rsidDel="00000000" w:rsidR="00000000" w:rsidRPr="00000000">
        <w:rPr>
          <w:rFonts w:ascii="Roboto" w:cs="Roboto" w:eastAsia="Roboto" w:hAnsi="Roboto"/>
          <w:highlight w:val="white"/>
          <w:rtl w:val="0"/>
        </w:rPr>
        <w:t xml:space="preserve">began refining the algorithm and testing the effects of various sets of training data (e.g. sets with poses where marker distinction is easy, medium, hard), allowing a comparison of both machine accuracy and training time to human labeling </w:t>
      </w:r>
      <w:r w:rsidDel="00000000" w:rsidR="00000000" w:rsidRPr="00000000">
        <w:rPr>
          <w:rFonts w:ascii="Roboto" w:cs="Roboto" w:eastAsia="Roboto" w:hAnsi="Roboto"/>
          <w:highlight w:val="white"/>
          <w:rtl w:val="0"/>
        </w:rPr>
        <w:t xml:space="preserve">efforts. In addition we note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trade-offs between algorithms trained on data that is single species</w:t>
      </w:r>
      <w:r w:rsidDel="00000000" w:rsidR="00000000" w:rsidRPr="00000000">
        <w:rPr>
          <w:rFonts w:ascii="Roboto" w:cs="Roboto" w:eastAsia="Roboto" w:hAnsi="Roboto"/>
          <w:highlight w:val="white"/>
          <w:rtl w:val="0"/>
        </w:rPr>
        <w:t xml:space="preserve"> specific vs multi-species inclusive.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The project highlights the synergy between efficiency of the algorithm(s) and biological accuracy when implementing researcher-informed machine learning algorithms.</w:t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color w:val="1f1f1f"/>
          <w:highlight w:val="whit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