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line="480" w:lineRule="auto"/>
        <w:jc w:val="center"/>
      </w:pPr>
      <w:r>
        <w:rPr>
          <w:rFonts w:ascii="Times New Roman" w:hAnsi="Times New Roman"/>
          <w:b/>
          <w:color w:val="18364E"/>
          <w:sz w:val="28"/>
        </w:rPr>
        <w:t>AN ADAPTIVE CYBER-PHYSICAL DETECTION AND</w:t>
        <w:br/>
        <w:t>MITIGATION FRAMEWORK FOR STEALTHY</w:t>
        <w:br/>
        <w:t>MAN-IN-THE-MIDDLE ATTACKS IN POWER SYSTEMS</w:t>
      </w:r>
    </w:p>
    <w:p>
      <w:pPr>
        <w:spacing w:before="480"/>
        <w:jc w:val="center"/>
      </w:pPr>
      <w:r>
        <w:rPr>
          <w:i/>
          <w:sz w:val="28"/>
        </w:rPr>
        <w:t>A Nigeria-Focused Research Work</w:t>
      </w:r>
    </w:p>
    <w:p>
      <w:pPr>
        <w:spacing w:after="100"/>
        <w:jc w:val="center"/>
      </w:pPr>
      <w:r>
        <w:t>Student Name: [Insert name]</w:t>
      </w:r>
    </w:p>
    <w:p>
      <w:pPr>
        <w:spacing w:after="100"/>
        <w:jc w:val="center"/>
      </w:pPr>
      <w:r>
        <w:t>Student Number: [Insert student number]</w:t>
      </w:r>
    </w:p>
    <w:p>
      <w:pPr>
        <w:spacing w:after="100"/>
        <w:jc w:val="center"/>
      </w:pPr>
      <w:r>
        <w:t>Department/Programme: [Insert department or programme]</w:t>
      </w:r>
    </w:p>
    <w:p>
      <w:pPr>
        <w:spacing w:after="100"/>
        <w:jc w:val="center"/>
      </w:pPr>
      <w:r>
        <w:t>Institution: [Insert institution]</w:t>
      </w:r>
    </w:p>
    <w:p>
      <w:pPr>
        <w:spacing w:after="100"/>
        <w:jc w:val="center"/>
      </w:pPr>
      <w:r>
        <w:t>Course Code and Title: [Insert course code and title]</w:t>
      </w:r>
    </w:p>
    <w:p>
      <w:pPr>
        <w:spacing w:after="100"/>
        <w:jc w:val="center"/>
      </w:pPr>
      <w:r>
        <w:t>Lecturer: [Insert lecturer name]</w:t>
      </w:r>
    </w:p>
    <w:p>
      <w:pPr>
        <w:spacing w:after="100"/>
        <w:jc w:val="center"/>
      </w:pPr>
      <w:r>
        <w:t>Date: [Insert submission date]</w:t>
      </w:r>
    </w:p>
    <w:p>
      <w:r>
        <w:br w:type="page"/>
      </w:r>
    </w:p>
    <w:p>
      <w:pPr>
        <w:pStyle w:val="Heading1"/>
      </w:pPr>
      <w:r>
        <w:t>Abstract</w:t>
      </w:r>
    </w:p>
    <w:p>
      <w:r>
        <w:rPr>
          <w:i w:val="0"/>
        </w:rPr>
        <w:t>This research develops a Nigeria-focused design and evidence synthesis for an adaptive cyber-physical framework to detect and mitigate stealthy man-in-the-middle (MiTM) attacks in power-system communications. It adopts Wlazlo et al. (2021) as the principal baseline. That study used an emulation-based cyber-physical testbed and a synthetic 2,000-bus grid to examine Distributed Network Protocol 3 (DNP3)-related false-data injection (FDI), false-command injection (FCI), and replay, combining Snort intrusion-detection system (IDS) alerts with network monitoring. The proposed extension follows the supplied research proposal: compare rule-based, network-only data-driven, and adaptive cross-layer detectors; test normal disturbances and held-out conditions; and assess mitigation separately under explicit safety constraints. The methodology specified is a quantitative controlled experiment in an isolated, authorised simulation or testbed, with time-aligned network and physical telemetry. The present deliverable completes the baseline analysis, Nigerian context synthesis, framework specification, variable operationalisation, scenario matrix, and evaluation plan. It does not report primary experimental performance because no testbed output or labelled dataset was supplied or generated. The results chapter therefore reports verifiable findings from the baseline and Nigerian policy/industry evidence, presents the framework design outcome, and marks all four hypotheses as untested. Nigeria’s supervisory control and data acquisition (SCADA) integration programme and the operational conditions documented by the Nigerian Electricity Regulatory Commission support prioritising local benign variation, including communication delay, loss, and grid-state changes, in future validation. The main contribution is a reproducible and safety-oriented research protocol that can be implemented without claiming unmeasured gains.</w:t>
        <w:br/>
        <w:br/>
        <w:t>Keywords: man-in-the-middle attack, power system, operational technology, DNP3, adaptive detection, Nigeria, SCADA</w:t>
      </w:r>
    </w:p>
    <w:p>
      <w:r>
        <w:br w:type="page"/>
      </w:r>
    </w:p>
    <w:p>
      <w:pPr>
        <w:keepNext/>
        <w:spacing w:line="480" w:lineRule="auto"/>
      </w:pPr>
      <w:r>
        <w:rPr>
          <w:rFonts w:ascii="Times New Roman" w:hAnsi="Times New Roman"/>
          <w:b/>
          <w:color w:val="18364E"/>
          <w:sz w:val="28"/>
        </w:rPr>
        <w:t>Contents</w:t>
      </w:r>
    </w:p>
    <w:p>
      <w:pPr>
        <w:spacing w:line="480" w:lineRule="auto"/>
      </w:pPr>
      <w:r/>
      <w:fldSimple w:instr="TOC \o &quot;1-3&quot; \h \z \u">
        <w:r>
          <w:t>Open in Word and update the table to populate numbered headings and right-aligned page numbers.</w:t>
        </w:r>
      </w:fldSimple>
    </w:p>
    <w:p>
      <w:r>
        <w:br w:type="page"/>
      </w:r>
    </w:p>
    <w:p>
      <w:pPr>
        <w:pStyle w:val="Heading1"/>
      </w:pPr>
      <w:r>
        <w:t>1 Introduction</w:t>
      </w:r>
    </w:p>
    <w:p>
      <w:r>
        <w:rPr>
          <w:i w:val="0"/>
        </w:rPr>
        <w:t>Electric power systems depend on operational technology (OT), supervisory control and data acquisition (SCADA), intelligent electronic devices, field sensors, communication links, and control-room software. They use measured data to estimate system state and issue commands to field equipment. This coupling makes the power grid a cyber-physical system: a change to digital messages can change what operators believe about the grid or what a controller asks equipment to do. OT security must therefore protect integrity and availability while respecting process timing, reliability, and physical safety (Stouffer et al., 2023).</w:t>
      </w:r>
    </w:p>
    <w:p>
      <w:r>
        <w:rPr>
          <w:i w:val="0"/>
        </w:rPr>
        <w:t>A MiTM adversary positions itself in a communication path and can observe, delay, replay, or modify messages while making the exchange appear legitimate. In the power-system setting, this position can support false-data injection (FDI), false-command injection (FCI), and replay. A detector that relies on network timing alone may confuse malicious delay with ordinary communications variation. A detector that relies only on the physical process may also confuse malicious manipulation with a real disturbance. The research question is whether a controlled, adaptive combination of the two evidence sources can improve detection and support a safe response.</w:t>
      </w:r>
    </w:p>
    <w:p>
      <w:r>
        <w:rPr>
          <w:i w:val="0"/>
        </w:rPr>
        <w:t>This study follows the supplied research proposal and explicitly uses Wlazlo et al. (2021) as its baseline. The contribution is a research design and framework extension, not a claim that cross-layer machine learning has already outperformed the baseline. The design separates detection from mitigation, compares specified methods on a common scenario matrix, and treats false alarms and operational disruption as outcomes alongside classification performance.</w:t>
      </w:r>
    </w:p>
    <w:p>
      <w:pPr>
        <w:pStyle w:val="Heading2"/>
      </w:pPr>
      <w:r>
        <w:t>1.1 Background of the Study</w:t>
      </w:r>
    </w:p>
    <w:p>
      <w:r>
        <w:rPr>
          <w:i w:val="0"/>
        </w:rPr>
        <w:t>Wlazlo et al. (2021) demonstrated multi-stage MiTM attacks in an emulation-based power-system testbed. Their scenarios included FDI, FCI, and replay over DNP3, and their work combined intrusion-detection alerts with network measures such as round-trip time (RTT), retransmission behaviour, and delay. The article explains why timing signatures are difficult to interpret: industrial control system (ICS) applications have different communication rates, and added MiTM latency can be masked by legitimate network behaviour. It also demonstrates that digital manipulation can have physical consequences, so network alerts should be interpreted in the operating context of the controlled process.</w:t>
      </w:r>
    </w:p>
    <w:p>
      <w:r>
        <w:rPr>
          <w:i w:val="0"/>
        </w:rPr>
        <w:t>Nigeria is a relevant setting because the electricity system is in a period of control-system integration. The Nigerian Electricity Regulatory Commission (NERC) reported in December 2024 that transmission and distribution systems were being integrated into the Transmission Company of Nigeria (TCN) SCADA and electricity management system (EMS), with generation integration under discussion (NERC, 2024). Increased supervisory visibility and remote coordination make cyber-physical monitoring and disciplined incident response consequential design requirements. The statement is about the architecture and transition, not evidence that Nigerian utilities have experienced the specific attacks studied here.</w:t>
      </w:r>
    </w:p>
    <w:p>
      <w:r>
        <w:rPr>
          <w:i w:val="0"/>
        </w:rPr>
        <w:t>NERC’s 2024 annual report recorded nine grid collapse incidents in 2024 and documented frequency behaviour outside the normal 49.75–50.25 Hz band during the year; the report linked this operational context in part to the lack of a SCADA system providing real-time monitoring and load management (NERC, 2025). These reported values make an important methodological point: local detectors must not label every voltage or frequency deviation as an intrusion. The experiment must include benign operating changes and distinguish the measured response from the cause of a deviation. A Nigerian cybersecurity assessment similarly describes the sector’s mix of legacy infrastructure and newer digital metering and automated control, and recommends coordinated people, process, and technology capabilities (Ogundari et al., 2021).</w:t>
      </w:r>
    </w:p>
    <w:p>
      <w:r>
        <w:rPr>
          <w:i w:val="0"/>
        </w:rPr>
        <w:t>Nigeria’s National Cybersecurity Policy and Strategy calls for critical information infrastructure protection through risk management, stakeholder coordination, mitigation planning, incident response, and resilience (Nigeria Computer Emergency Response Team [ngCERT], 2021). This supports a design that includes monitoring, operator decision support, containment, recovery, and post-incident learning. The framework in this research therefore focuses on authorised laboratory evaluation and is designed to inform, rather than replace, utility engineering judgement and national policy.</w:t>
      </w:r>
    </w:p>
    <w:p>
      <w:pPr>
        <w:pStyle w:val="Heading2"/>
      </w:pPr>
      <w:r>
        <w:t>1.2 Statement of the Research Problem</w:t>
      </w:r>
    </w:p>
    <w:p>
      <w:r>
        <w:rPr>
          <w:i w:val="0"/>
        </w:rPr>
        <w:t>Stealthy MiTM activity can preserve enough normal protocol behaviour to evade simple alarms while altering, delaying, or replaying control messages. Network indicators such as latency and retransmission rate are useful but may be ambiguous under ordinary traffic load, packet loss, clock variation, or routing changes. Physical measurements provide additional context, but physical disturbances can also be benign and should not by themselves trigger an attack label. A detector that ignores either evidence source risks missed attacks or excessive false alarms.</w:t>
      </w:r>
    </w:p>
    <w:p>
      <w:r>
        <w:rPr>
          <w:i w:val="0"/>
        </w:rPr>
        <w:t>The baseline paper provides testbed-based attack scenarios and network-oriented detection mechanisms, but it does not answer the proposal’s narrower comparative question: whether adaptive correlation of network telemetry with physical measurements generalises across changed operating conditions and whether a safety-aware response reduces physical impact without causing unacceptable disruption. Detection performance and mitigation safety need separate evaluation. The research problem is therefore to specify and validate a fair, reproducible comparison among rule-based, network-only, and adaptive cross-layer methods against stealthy MiTM scenarios in normal and changed conditions, using measures that capture both cyber detection and physical consequences.</w:t>
      </w:r>
    </w:p>
    <w:p>
      <w:pPr>
        <w:pStyle w:val="Heading2"/>
      </w:pPr>
      <w:r>
        <w:t>1.3 Aim, Objectives, Research Questions and Hypotheses</w:t>
      </w:r>
    </w:p>
    <w:p>
      <w:pPr>
        <w:pStyle w:val="Heading3"/>
      </w:pPr>
      <w:r>
        <w:t>1.3.1 Aim</w:t>
      </w:r>
    </w:p>
    <w:p>
      <w:r>
        <w:rPr>
          <w:i w:val="0"/>
        </w:rPr>
        <w:t>To design and evaluate an adaptive cyber-physical detection and mitigation framework for stealthy MiTM attacks in power-system communication and control environments, using Wlazlo et al. (2021) as the baseline and adapting the experimental context to Nigeria.</w:t>
      </w:r>
    </w:p>
    <w:p>
      <w:pPr>
        <w:pStyle w:val="Heading3"/>
      </w:pPr>
      <w:r>
        <w:t>1.3.2 Specific Objectives</w:t>
      </w:r>
    </w:p>
    <w:p>
      <w:r>
        <w:rPr>
          <w:i w:val="0"/>
        </w:rPr>
        <w:t>1. Critically analyse the baseline study’s attack scenarios, testbed approach, detection indicators, findings, and limitations.</w:t>
      </w:r>
    </w:p>
    <w:p>
      <w:r>
        <w:rPr>
          <w:i w:val="0"/>
        </w:rPr>
        <w:t>2. Identify candidate network and physical features that may separate malicious manipulation from ordinary network and grid variation.</w:t>
      </w:r>
    </w:p>
    <w:p>
      <w:r>
        <w:rPr>
          <w:i w:val="0"/>
        </w:rPr>
        <w:t>3. Specify an adaptive detector that combines aligned cyber and physical evidence and produces an interpretable alert or confidence score.</w:t>
      </w:r>
    </w:p>
    <w:p>
      <w:r>
        <w:rPr>
          <w:i w:val="0"/>
        </w:rPr>
        <w:t>4. Compare that detector with rule-based and network-only data-driven baselines under the same scenario matrix.</w:t>
      </w:r>
    </w:p>
    <w:p>
      <w:r>
        <w:rPr>
          <w:i w:val="0"/>
        </w:rPr>
        <w:t>5. Evaluate precision, recall, F1-score (the harmonic mean of precision and recall), false-positive rate, detection latency, computational overhead, generalisation, and mitigation impact.</w:t>
      </w:r>
    </w:p>
    <w:p>
      <w:pPr>
        <w:pStyle w:val="Heading3"/>
      </w:pPr>
      <w:r>
        <w:t>1.3.3 Research Questions</w:t>
      </w:r>
    </w:p>
    <w:p>
      <w:r>
        <w:rPr>
          <w:i w:val="0"/>
        </w:rPr>
        <w:t>1. What methods and indicators does Wlazlo et al. (2021) establish, and what unresolved questions motivate the proposed extension?</w:t>
      </w:r>
    </w:p>
    <w:p>
      <w:r>
        <w:rPr>
          <w:i w:val="0"/>
        </w:rPr>
        <w:t>2. Does combining network telemetry with physical-system measurements improve MiTM detection over a network-only detector under the selected test conditions?</w:t>
      </w:r>
    </w:p>
    <w:p>
      <w:r>
        <w:rPr>
          <w:i w:val="0"/>
        </w:rPr>
        <w:t>3. How does the proposed framework perform on attack configurations or operating conditions withheld from training?</w:t>
      </w:r>
    </w:p>
    <w:p>
      <w:r>
        <w:rPr>
          <w:i w:val="0"/>
        </w:rPr>
        <w:t>4. Can cross-layer evidence reduce false alarms caused by legitimate delays, packet loss, or physical disturbances without reducing attack recall?</w:t>
      </w:r>
    </w:p>
    <w:p>
      <w:r>
        <w:rPr>
          <w:i w:val="0"/>
        </w:rPr>
        <w:t>5. Does a predefined safety-aware mitigation policy reduce measured attack impact without unacceptable disruption to legitimate control?</w:t>
      </w:r>
    </w:p>
    <w:p>
      <w:pPr>
        <w:pStyle w:val="Heading3"/>
      </w:pPr>
      <w:r>
        <w:t>1.3.4 Research Hypotheses</w:t>
      </w:r>
    </w:p>
    <w:p>
      <w:r>
        <w:rPr>
          <w:i w:val="0"/>
        </w:rPr>
        <w:t>H1. Under the selected testbed conditions, an adaptive detector using network and physical features will achieve a higher F1-score than the network-only baseline.</w:t>
      </w:r>
    </w:p>
    <w:p>
      <w:r>
        <w:rPr>
          <w:i w:val="0"/>
        </w:rPr>
        <w:t>H2. At comparable attack recall, the proposed detector will have a lower false-positive rate than the rule-based baseline.</w:t>
      </w:r>
    </w:p>
    <w:p>
      <w:r>
        <w:rPr>
          <w:i w:val="0"/>
        </w:rPr>
        <w:t>H3. Performance will decline on changed conditions, but the decline will be smaller for the adaptive approach than for a non-adaptive baseline.</w:t>
      </w:r>
    </w:p>
    <w:p>
      <w:r>
        <w:rPr>
          <w:i w:val="0"/>
        </w:rPr>
        <w:t>H4. A safety-aware mitigation policy will reduce measured physical impact relative to detection without mitigation while remaining within predefined operating constraints.</w:t>
      </w:r>
    </w:p>
    <w:p>
      <w:r>
        <w:rPr>
          <w:i w:val="0"/>
        </w:rPr>
        <w:t>These hypotheses are directional predictions from the proposal. They are not reported as supported because no primary experiment was run for this research work.</w:t>
      </w:r>
    </w:p>
    <w:p>
      <w:pPr>
        <w:pStyle w:val="Heading2"/>
      </w:pPr>
      <w:r>
        <w:t>1.4 Significance of the Study</w:t>
      </w:r>
    </w:p>
    <w:p>
      <w:r>
        <w:rPr>
          <w:i w:val="0"/>
        </w:rPr>
        <w:t>The study provides an explicit, testable extension of Wlazlo et al. (2021): it retains the baseline’s MiTM scenario families and network evidence, then adds physical-state correlation, held-out operating conditions, and separate mitigation evaluation. For researchers, it defines a common comparison plan and guards against data leakage and accuracy-only reporting. For Nigerian power-sector stakeholders, it translates the research into a controlled way to assess monitoring during SCADA integration, where benign operating variation and reliability constraints must be represented in the test data. For policy and engineering practice, it aligns an alert-to-recovery workflow with the risk management and resilience orientation of ngCERT’s national strategy (ngCERT, 2021).</w:t>
      </w:r>
    </w:p>
    <w:p>
      <w:r>
        <w:rPr>
          <w:i w:val="0"/>
        </w:rPr>
        <w:t>The study’s practical value will depend on validation with a suitable authorised testbed, transparent data, and utility review of operational limits. It is not a claim that a detector can prevent grid disturbances, nor that an ML alert should automatically operate a breaker.</w:t>
      </w:r>
    </w:p>
    <w:p>
      <w:pPr>
        <w:pStyle w:val="Heading2"/>
      </w:pPr>
      <w:r>
        <w:t>1.5 Scope and Limitations</w:t>
      </w:r>
    </w:p>
    <w:p>
      <w:r>
        <w:rPr>
          <w:i w:val="0"/>
        </w:rPr>
        <w:t>The scope is laboratory or simulation-based evaluation of MiTM-related replay, FDI, and FCI scenarios in power-system communications. The framework considers network telemetry, selected physical measurements, intrusion-detection alerts, and constrained mitigation. DNP3 is retained as the baseline protocol because it is central to Wlazlo et al. (2021). Any extension to Modbus or IEC 61850 should be treated as a separately documented protocol-specific validation rather than assumed to transfer automatically.</w:t>
      </w:r>
    </w:p>
    <w:p>
      <w:r>
        <w:rPr>
          <w:i w:val="0"/>
        </w:rPr>
        <w:t>The work is Nigeria-oriented in its sector context, normal-condition design, operational measures, and policy implications. It does not use utility operational data, identify a real Nigerian utility vulnerability, or conduct any activity on a live grid. Its present evidence base is documentary and analytical: the supplied proposal and baseline paper, peer-reviewed and standards literature, and Nigerian regulatory and policy publications. Because no experimental output was supplied or created, measured classification scores, latency, mitigation effectiveness, statistical tests, and hypothesis decisions remain outside the empirical claims of this document.</w:t>
      </w:r>
    </w:p>
    <w:p>
      <w:r>
        <w:rPr>
          <w:i w:val="0"/>
        </w:rPr>
        <w:t>A simulated or emulated model cannot represent every protection scheme, topology, vendor implementation, communications failure, or operator practice in Nigerian utilities. Results from a future testbed would need careful limits, repeated trials, scenario diversity, and utility-specific safety review before operational interpretation.</w:t>
      </w:r>
    </w:p>
    <w:p>
      <w:r>
        <w:br w:type="page"/>
      </w:r>
    </w:p>
    <w:p>
      <w:pPr>
        <w:pStyle w:val="Heading1"/>
      </w:pPr>
      <w:r>
        <w:t>2 Literature Review</w:t>
      </w:r>
    </w:p>
    <w:p>
      <w:pPr>
        <w:pStyle w:val="Heading2"/>
      </w:pPr>
      <w:r>
        <w:t>2.1 MiTM Attacks in Power-System Control</w:t>
      </w:r>
    </w:p>
    <w:p>
      <w:r>
        <w:rPr>
          <w:i w:val="0"/>
        </w:rPr>
        <w:t>MiTM describes an adversary’s position in a communication exchange; FDI and FCI describe manipulations made possible from that position. Replay reuses previously valid information or commands. These categories overlap in an attack chain but should remain distinct in scenario labels: the attack’s access path, manipulated message, protocol exchange, and physical consequence are different variables. Wlazlo et al. (2021) provide the principal exemplar, using DNP3 communications and an emulated large synthetic grid to connect multi-stage MiTM activity with misleading measurements and control actions.</w:t>
      </w:r>
    </w:p>
    <w:p>
      <w:r>
        <w:rPr>
          <w:i w:val="0"/>
        </w:rPr>
        <w:t>The baseline paper also distinguishes the network and process sides of detection. It uses Snort alerts and network monitoring, while collecting data from the emulated communication environment, power-system simulator, and DNP3 masters. Its motivation is practical: conventional tools may not support industrial protocols well, and added latency alone may be indistinguishable from expected application timing. The baseline therefore supports multi-source monitoring and controlled testbed evaluation, but does not make a universal claim that one latency threshold detects every MiTM attack.</w:t>
      </w:r>
    </w:p>
    <w:p>
      <w:pPr>
        <w:pStyle w:val="Heading2"/>
      </w:pPr>
      <w:r>
        <w:t>2.2 False-Data Injection and Physical Evidence</w:t>
      </w:r>
    </w:p>
    <w:p>
      <w:r>
        <w:rPr>
          <w:i w:val="0"/>
        </w:rPr>
        <w:t>False measurement manipulation is a known challenge for power-system state estimation. Liu et al. (2011) formalised FDI attacks that can evade conventional bad-data detection under particular measurement and system assumptions. This work motivates evaluating state-related residuals and physical consistency, while also cautioning against treating a single residual as a guaranteed alarm. MiTM and FDI are related but not synonymous: a false measurement can arise through different access paths, and a MiTM may relay or replay messages without changing every value.</w:t>
      </w:r>
    </w:p>
    <w:p>
      <w:r>
        <w:rPr>
          <w:i w:val="0"/>
        </w:rPr>
        <w:t>Cross-layer evidence can help identify inconsistencies. Examples include a command that conflicts with an authenticated control sequence, a repeated measurement with an implausible timestamp, a network delay that coincides with a process residual shift, or a control action not reflected in the expected physical state. These are candidate features and relationships to test, not validated rules for all grid configurations. Their thresholds depend on sampling, control logic, engineering tolerances, and time synchronisation.</w:t>
      </w:r>
    </w:p>
    <w:p>
      <w:pPr>
        <w:pStyle w:val="Heading2"/>
      </w:pPr>
      <w:r>
        <w:t>2.3 Data-Driven Detection, Drift and Evaluation</w:t>
      </w:r>
    </w:p>
    <w:p>
      <w:r>
        <w:rPr>
          <w:i w:val="0"/>
        </w:rPr>
        <w:t>Machine-learning approaches can represent interactions among features that are cumbersome to encode as a single threshold. Cui et al. (2020) survey machine-learning methods for FDI detection in smart grids and identify evaluation and deployment challenges. The proposal correctly treats algorithm choice as empirical: logistic regression, random forests, boosted trees, and autoencoders are candidates, not established winners. For a modest testbed dataset, a calibrated tree ensemble is a reasonable pilot candidate because it supports nonlinear feature interactions and can be inspected with feature attribution; it must still be compared on identical data splits and calibrated for alert thresholds.</w:t>
      </w:r>
    </w:p>
    <w:p>
      <w:r>
        <w:rPr>
          <w:i w:val="0"/>
        </w:rPr>
        <w:t>A valid test split must prevent near-duplicate windows from the same scenario appearing in both training and testing. Grouping by attack configuration, operating state, or topology better tests generalisation than random row-level splitting. Because attacks may be rare, precision, recall, F1-score, false-positive rate, latency, and per-class results are more informative than accuracy alone. Repeated runs and confidence intervals should be used where feasible. A model’s behaviour when the distribution changes is part of the research question, not a side effect to omit.</w:t>
      </w:r>
    </w:p>
    <w:p>
      <w:pPr>
        <w:pStyle w:val="Heading2"/>
      </w:pPr>
      <w:r>
        <w:t>2.4 Safety-Aware OT Response</w:t>
      </w:r>
    </w:p>
    <w:p>
      <w:r>
        <w:rPr>
          <w:i w:val="0"/>
        </w:rPr>
        <w:t>OT security measures must account for timing, reliability, and safety alongside confidentiality and integrity (Stouffer et al., 2023). Detection and mitigation therefore require distinct evaluation. An alert can be evaluated using labels and detection latency; a response must additionally be judged by whether it reduces the attack-induced deviation, preserves legitimate control, avoids unsafe switching, and allows a validated recovery. Candidate actions in an isolated testbed include operator notification, holding or rejecting a command pending validation, simulated path isolation, or switching to a pre-approved fallback. The permissible response set must be defined by testbed owners before the experiment.</w:t>
      </w:r>
    </w:p>
    <w:p>
      <w:r>
        <w:rPr>
          <w:i w:val="0"/>
        </w:rPr>
        <w:t>The response lifecycle should include preparation, detection and analysis, containment, recovery, and post-incident review. This is consistent with the incident response orientation set out in Nigeria’s National Cybersecurity Policy and Strategy (ngCERT, 2021) and the people-process-technology emphasis reported by Ogundari et al. (2021). In this framework, adaptation is restricted to approved detector updates. The model may recalibrate within validated limits or flag drift for review; it may not silently learn from uncertain incident labels or autonomously change protection settings.</w:t>
      </w:r>
    </w:p>
    <w:p>
      <w:pPr>
        <w:pStyle w:val="Heading2"/>
      </w:pPr>
      <w:r>
        <w:t>2.5 Nigerian Electricity and Cybersecurity Context</w:t>
      </w:r>
    </w:p>
    <w:p>
      <w:r>
        <w:rPr>
          <w:i w:val="0"/>
        </w:rPr>
        <w:t>The Nigerian sector context makes benign variation a central design issue. NERC’s annual reporting characterises grid frequency, voltage fluctuation, transmission losses, and collapse incidents as system performance indicators. For 2024, the report recorded nine collapse incidents and monthly average upper and lower daily frequency bounds outside the normal operating band for the year (NERC, 2025). This establishes an operational reason to include ordinary disturbances and changing grid states in validation. It does not establish that any of those events were cyber caused.</w:t>
      </w:r>
    </w:p>
    <w:p>
      <w:r>
        <w:rPr>
          <w:i w:val="0"/>
        </w:rPr>
        <w:t>NERC’s December 2024 account of SCADA integration provides a concrete technology transition context: transmission and distribution systems were being integrated into a TCN SCADA/EMS platform, with generation integration being discussed (NERC, 2024). As this evolves, monitoring must work across real deployment boundaries, changing asset visibility, different vendors, and communications paths. Initial research should therefore model a clearly bounded segment and identify assumptions rather than claim full-grid generality.</w:t>
      </w:r>
    </w:p>
    <w:p>
      <w:r>
        <w:rPr>
          <w:i w:val="0"/>
        </w:rPr>
        <w:t>Ogundari et al. (2021) examined Nigerian electric power infrastructure using policy and technical sources and argued that legacy assets coexist with digital monitoring and control technologies. Their study is a national cybersecurity assessment, not an empirical report of MiTM incidents. It supports a risk-based, sector-specific research rationale. The national strategy also frames critical infrastructure resilience as a multi-stakeholder responsibility, joining risk management, mitigation, incident response, and recovery (ngCERT, 2021).</w:t>
      </w:r>
    </w:p>
    <w:p>
      <w:pPr>
        <w:pStyle w:val="Heading2"/>
      </w:pPr>
      <w:r>
        <w:t>2.6 Research Gap and Conceptual Position</w:t>
      </w:r>
    </w:p>
    <w:p>
      <w:r>
        <w:rPr>
          <w:i w:val="0"/>
        </w:rPr>
        <w:t>The gap is intentionally narrow. The baseline already demonstrates MiTM scenarios in a power-system cyber-physical testbed and uses multiple detection signals. The proposed research does not claim that MiTM detection, cyber-physical evidence, or response planning have never been studied. It asks for a controlled comparison of three specified detector classes, with changed operating conditions and benign disturbances, and a separate evaluation of safety-constrained mitigation. The additional Nigerian contribution is to make local operating variability, SCADA integration, and policy context explicit in the scenario and interpretation plan.</w:t>
      </w:r>
    </w:p>
    <w:p>
      <w:r>
        <w:rPr>
          <w:i w:val="0"/>
        </w:rPr>
        <w:t>The independent variables are detector type, attack type, traffic load, operating condition, and whether a scenario is represented in training. Dependent variables are classification performance, detection latency, computational overhead, and mitigation and physical-impact measures. Grid model, protocol implementation, sampling, duration, and normal-scenario definitions are controlled where possible. Packet loss, clock error, noise, random seed, topology change, and train-test distribution shift are potential confounders.</w:t>
      </w:r>
    </w:p>
    <w:p>
      <w:pPr>
        <w:keepNext/>
        <w:spacing w:before="0" w:after="0" w:line="480" w:lineRule="auto"/>
      </w:pPr>
      <w:r>
        <w:rPr>
          <w:b/>
          <w:sz w:val="28"/>
        </w:rPr>
        <w:t>Figure 1</w:t>
        <w:br/>
        <w:t>Proposed Adaptive Cyber-Physical Detection and Mitigation Framework</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F1F6"/>
          </w:tcPr>
          <w:p>
            <w:pPr>
              <w:spacing w:line="480" w:lineRule="auto" w:after="0"/>
            </w:pPr>
            <w:r/>
            <w:r>
              <w:rPr>
                <w:b/>
                <w:color w:val="18364E"/>
                <w:sz w:val="24"/>
              </w:rPr>
              <w:t>1. Network evidence</w:t>
              <w:br/>
            </w:r>
            <w:r>
              <w:rPr>
                <w:sz w:val="24"/>
              </w:rPr>
              <w:t>RTT, retransmissions, packet timing, protocol events, IDS alerts</w:t>
            </w:r>
          </w:p>
        </w:tc>
        <w:tc>
          <w:tcPr>
            <w:tcW w:type="dxa" w:w="1872"/>
            <w:shd w:fill="F4F7F9"/>
          </w:tcPr>
          <w:p>
            <w:pPr>
              <w:spacing w:line="480" w:lineRule="auto" w:after="0"/>
            </w:pPr>
            <w:r/>
            <w:r>
              <w:rPr>
                <w:b/>
                <w:color w:val="18364E"/>
                <w:sz w:val="24"/>
              </w:rPr>
              <w:t>2. Physical evidence</w:t>
              <w:br/>
            </w:r>
            <w:r>
              <w:rPr>
                <w:sz w:val="24"/>
              </w:rPr>
              <w:t>Voltage, frequency, power flow, breaker state, residuals</w:t>
            </w:r>
          </w:p>
        </w:tc>
        <w:tc>
          <w:tcPr>
            <w:tcW w:type="dxa" w:w="1872"/>
            <w:shd w:fill="EAF1F6"/>
          </w:tcPr>
          <w:p>
            <w:pPr>
              <w:spacing w:line="480" w:lineRule="auto" w:after="0"/>
            </w:pPr>
            <w:r/>
            <w:r>
              <w:rPr>
                <w:b/>
                <w:color w:val="18364E"/>
                <w:sz w:val="24"/>
              </w:rPr>
              <w:t>3. Time alignment and context</w:t>
              <w:br/>
            </w:r>
            <w:r>
              <w:rPr>
                <w:sz w:val="24"/>
              </w:rPr>
              <w:t>Clock quality, operating state, traffic load, feature checks</w:t>
            </w:r>
          </w:p>
        </w:tc>
        <w:tc>
          <w:tcPr>
            <w:tcW w:type="dxa" w:w="1872"/>
            <w:shd w:fill="F4F7F9"/>
          </w:tcPr>
          <w:p>
            <w:pPr>
              <w:spacing w:line="480" w:lineRule="auto" w:after="0"/>
            </w:pPr>
            <w:r/>
            <w:r>
              <w:rPr>
                <w:b/>
                <w:color w:val="18364E"/>
                <w:sz w:val="24"/>
              </w:rPr>
              <w:t>4. Adaptive detector</w:t>
              <w:br/>
            </w:r>
            <w:r>
              <w:rPr>
                <w:sz w:val="24"/>
              </w:rPr>
              <w:t>Rule baseline, network-only baseline, cross-layer score and confidence</w:t>
            </w:r>
          </w:p>
        </w:tc>
        <w:tc>
          <w:tcPr>
            <w:tcW w:type="dxa" w:w="1872"/>
            <w:shd w:fill="EAF1F6"/>
          </w:tcPr>
          <w:p>
            <w:pPr>
              <w:spacing w:line="480" w:lineRule="auto" w:after="0"/>
            </w:pPr>
            <w:r/>
            <w:r>
              <w:rPr>
                <w:b/>
                <w:color w:val="18364E"/>
                <w:sz w:val="24"/>
              </w:rPr>
              <w:t>5. Safety-gated response</w:t>
              <w:br/>
            </w:r>
            <w:r>
              <w:rPr>
                <w:sz w:val="24"/>
              </w:rPr>
              <w:t>Alert, validate, approved containment, recovery and review</w:t>
            </w:r>
          </w:p>
        </w:tc>
      </w:tr>
    </w:tbl>
    <w:p>
      <w:pPr>
        <w:spacing w:after="0" w:line="480" w:lineRule="auto"/>
      </w:pPr>
      <w:r>
        <w:rPr>
          <w:i/>
          <w:sz w:val="24"/>
        </w:rPr>
        <w:t>Note. Author’s synthesis based on the supplied proposal, Wlazlo et al. (2021), and OT safety guidance. All response actions require prior approval for the specific testbed.</w:t>
      </w:r>
    </w:p>
    <w:p>
      <w:r>
        <w:br w:type="page"/>
      </w:r>
    </w:p>
    <w:p>
      <w:pPr>
        <w:pStyle w:val="Heading1"/>
      </w:pPr>
      <w:r>
        <w:t>3 Methodology</w:t>
      </w:r>
    </w:p>
    <w:p>
      <w:pPr>
        <w:pStyle w:val="Heading2"/>
      </w:pPr>
      <w:r>
        <w:t>3.1 Research Design and Method Applied</w:t>
      </w:r>
    </w:p>
    <w:p>
      <w:r>
        <w:rPr>
          <w:i w:val="0"/>
        </w:rPr>
        <w:t>The proposal specifies a quantitative experimental study. The empirical design is a controlled, repeated-run comparison in an isolated simulation or authorised cyber-physical testbed. Every detector is evaluated against the same labelled scenario matrix and data collection procedure. The present research work applies that methodology in two completed stages: documentary analysis of the proposal, baseline paper, and relevant Nigerian and technical sources; and a design-stage operationalisation of the variables, framework, scenarios, metrics, and analysis plan. No experiment was executed for this report because the supplied material did not include testbed access, experimental logs, or a labelled dataset. Consequently, the research method is specified and applied to the evidence synthesis, while primary hypotheses await testbed validation.</w:t>
      </w:r>
    </w:p>
    <w:p>
      <w:r>
        <w:rPr>
          <w:i w:val="0"/>
        </w:rPr>
        <w:t>The documentary analysis was directed by the proposal’s alignment requirements. The baseline was examined for its attack classes, protocol, architecture, signals, stated challenges, and evaluation logic. Nigerian context sources were included where they establish sector control-system integration, power-system operating characteristics, national cybersecurity priorities, or sector-specific cybersecurity analysis. Technical standards were used to constrain safety claims. The output is a testable protocol rather than a simulated result set.</w:t>
      </w:r>
    </w:p>
    <w:p>
      <w:pPr>
        <w:pStyle w:val="Heading2"/>
      </w:pPr>
      <w:r>
        <w:t>3.2 Test Environment and System Boundary</w:t>
      </w:r>
    </w:p>
    <w:p>
      <w:r>
        <w:rPr>
          <w:i w:val="0"/>
        </w:rPr>
        <w:t>The future experiment should use either an emulation-based cyber-physical testbed or a simulator that synchronises a power-flow or dynamic grid model with a communication and control stack. A suitable architecture includes a control-centre master, field/outstation endpoints, a protocol communication network, a grid simulator, monitoring sensors, time synchronisation, and an isolated attack injector. DNP3 is the first protocol target to preserve direct comparability with Wlazlo et al. (2021). Nigerian research partners may select another locally available protocol in a separate protocol-specific phase. The exact simulator, topology, protocol implementation, host specifications, and sampling interval must be recorded before data generation.</w:t>
      </w:r>
    </w:p>
    <w:p>
      <w:r>
        <w:rPr>
          <w:i w:val="0"/>
        </w:rPr>
        <w:t>The test environment must be isolated from utility and public networks, use synthetic or explicitly authorised data, and prevent any control packet from reaching live infrastructure. It should have immutable experiment logs, a documented clock source, repeatable random seeds, and a safe reset procedure. The operating envelope and permitted mitigation actions must be approved by the testbed owner before any attack scenario is executed.</w:t>
      </w:r>
    </w:p>
    <w:p>
      <w:pPr>
        <w:pStyle w:val="Heading2"/>
      </w:pPr>
      <w:r>
        <w:t>3.3 Variables and Operational Measures</w:t>
      </w:r>
    </w:p>
    <w:p>
      <w:pPr>
        <w:keepNext/>
        <w:spacing w:before="0" w:after="0" w:line="480" w:lineRule="auto"/>
      </w:pPr>
      <w:r>
        <w:rPr>
          <w:b/>
          <w:sz w:val="28"/>
        </w:rPr>
        <w:t>Table 1</w:t>
        <w:br/>
        <w:t>Study Variables and Operationalisation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18364E"/>
          </w:tcPr>
          <w:p>
            <w:pPr>
              <w:spacing w:after="0" w:line="480" w:lineRule="auto"/>
            </w:pPr>
            <w:r/>
            <w:r>
              <w:rPr>
                <w:rFonts w:ascii="Times New Roman" w:hAnsi="Times New Roman"/>
                <w:b/>
                <w:color w:val="FFFFFF"/>
                <w:sz w:val="24"/>
              </w:rPr>
              <w:t>Variable role</w:t>
            </w:r>
          </w:p>
        </w:tc>
        <w:tc>
          <w:tcPr>
            <w:tcW w:type="dxa" w:w="2340"/>
            <w:vAlign w:val="center"/>
            <w:shd w:fill="18364E"/>
          </w:tcPr>
          <w:p>
            <w:pPr>
              <w:spacing w:after="0" w:line="480" w:lineRule="auto"/>
            </w:pPr>
            <w:r/>
            <w:r>
              <w:rPr>
                <w:rFonts w:ascii="Times New Roman" w:hAnsi="Times New Roman"/>
                <w:b/>
                <w:color w:val="FFFFFF"/>
                <w:sz w:val="24"/>
              </w:rPr>
              <w:t>Variable</w:t>
            </w:r>
          </w:p>
        </w:tc>
        <w:tc>
          <w:tcPr>
            <w:tcW w:type="dxa" w:w="2340"/>
            <w:vAlign w:val="center"/>
            <w:shd w:fill="18364E"/>
          </w:tcPr>
          <w:p>
            <w:pPr>
              <w:spacing w:after="0" w:line="480" w:lineRule="auto"/>
            </w:pPr>
            <w:r/>
            <w:r>
              <w:rPr>
                <w:rFonts w:ascii="Times New Roman" w:hAnsi="Times New Roman"/>
                <w:b/>
                <w:color w:val="FFFFFF"/>
                <w:sz w:val="24"/>
              </w:rPr>
              <w:t>Operational definition / candidate measure</w:t>
            </w:r>
          </w:p>
        </w:tc>
        <w:tc>
          <w:tcPr>
            <w:tcW w:type="dxa" w:w="2340"/>
            <w:vAlign w:val="center"/>
            <w:shd w:fill="18364E"/>
          </w:tcPr>
          <w:p>
            <w:pPr>
              <w:spacing w:after="0" w:line="480" w:lineRule="auto"/>
            </w:pPr>
            <w:r/>
            <w:r>
              <w:rPr>
                <w:rFonts w:ascii="Times New Roman" w:hAnsi="Times New Roman"/>
                <w:b/>
                <w:color w:val="FFFFFF"/>
                <w:sz w:val="24"/>
              </w:rPr>
              <w:t>Analysis use</w:t>
            </w:r>
          </w:p>
        </w:tc>
      </w:tr>
      <w:tr>
        <w:tc>
          <w:tcPr>
            <w:tcW w:type="dxa" w:w="2340"/>
            <w:vAlign w:val="center"/>
          </w:tcPr>
          <w:p>
            <w:pPr>
              <w:spacing w:after="0" w:line="480" w:lineRule="auto"/>
            </w:pPr>
            <w:r/>
            <w:r>
              <w:rPr>
                <w:rFonts w:ascii="Times New Roman" w:hAnsi="Times New Roman"/>
                <w:b w:val="0"/>
                <w:sz w:val="24"/>
              </w:rPr>
              <w:t>Independent</w:t>
            </w:r>
          </w:p>
        </w:tc>
        <w:tc>
          <w:tcPr>
            <w:tcW w:type="dxa" w:w="2340"/>
            <w:vAlign w:val="center"/>
          </w:tcPr>
          <w:p>
            <w:pPr>
              <w:spacing w:after="0" w:line="480" w:lineRule="auto"/>
            </w:pPr>
            <w:r/>
            <w:r>
              <w:rPr>
                <w:rFonts w:ascii="Times New Roman" w:hAnsi="Times New Roman"/>
                <w:b w:val="0"/>
                <w:sz w:val="24"/>
              </w:rPr>
              <w:t>Detector type</w:t>
            </w:r>
          </w:p>
        </w:tc>
        <w:tc>
          <w:tcPr>
            <w:tcW w:type="dxa" w:w="2340"/>
            <w:vAlign w:val="center"/>
          </w:tcPr>
          <w:p>
            <w:pPr>
              <w:spacing w:after="0" w:line="480" w:lineRule="auto"/>
            </w:pPr>
            <w:r/>
            <w:r>
              <w:rPr>
                <w:rFonts w:ascii="Times New Roman" w:hAnsi="Times New Roman"/>
                <w:b w:val="0"/>
                <w:sz w:val="24"/>
              </w:rPr>
              <w:t>Rule/threshold; network-only data-driven; adaptive cross-layer detector</w:t>
            </w:r>
          </w:p>
        </w:tc>
        <w:tc>
          <w:tcPr>
            <w:tcW w:type="dxa" w:w="2340"/>
            <w:vAlign w:val="center"/>
          </w:tcPr>
          <w:p>
            <w:pPr>
              <w:spacing w:after="0" w:line="480" w:lineRule="auto"/>
            </w:pPr>
            <w:r/>
            <w:r>
              <w:rPr>
                <w:rFonts w:ascii="Times New Roman" w:hAnsi="Times New Roman"/>
                <w:b w:val="0"/>
                <w:sz w:val="24"/>
              </w:rPr>
              <w:t>Primary method comparison</w:t>
            </w:r>
          </w:p>
        </w:tc>
      </w:tr>
      <w:tr>
        <w:tc>
          <w:tcPr>
            <w:tcW w:type="dxa" w:w="2340"/>
            <w:vAlign w:val="center"/>
          </w:tcPr>
          <w:p>
            <w:pPr>
              <w:spacing w:after="0" w:line="480" w:lineRule="auto"/>
            </w:pPr>
            <w:r/>
            <w:r>
              <w:rPr>
                <w:rFonts w:ascii="Times New Roman" w:hAnsi="Times New Roman"/>
                <w:b w:val="0"/>
                <w:sz w:val="24"/>
              </w:rPr>
              <w:t>Independent</w:t>
            </w:r>
          </w:p>
        </w:tc>
        <w:tc>
          <w:tcPr>
            <w:tcW w:type="dxa" w:w="2340"/>
            <w:vAlign w:val="center"/>
          </w:tcPr>
          <w:p>
            <w:pPr>
              <w:spacing w:after="0" w:line="480" w:lineRule="auto"/>
            </w:pPr>
            <w:r/>
            <w:r>
              <w:rPr>
                <w:rFonts w:ascii="Times New Roman" w:hAnsi="Times New Roman"/>
                <w:b w:val="0"/>
                <w:sz w:val="24"/>
              </w:rPr>
              <w:t>Attack type</w:t>
            </w:r>
          </w:p>
        </w:tc>
        <w:tc>
          <w:tcPr>
            <w:tcW w:type="dxa" w:w="2340"/>
            <w:vAlign w:val="center"/>
          </w:tcPr>
          <w:p>
            <w:pPr>
              <w:spacing w:after="0" w:line="480" w:lineRule="auto"/>
            </w:pPr>
            <w:r/>
            <w:r>
              <w:rPr>
                <w:rFonts w:ascii="Times New Roman" w:hAnsi="Times New Roman"/>
                <w:b w:val="0"/>
                <w:sz w:val="24"/>
              </w:rPr>
              <w:t>Normal; replay; FDI; FCI; combinations only if labelled separately</w:t>
            </w:r>
          </w:p>
        </w:tc>
        <w:tc>
          <w:tcPr>
            <w:tcW w:type="dxa" w:w="2340"/>
            <w:vAlign w:val="center"/>
          </w:tcPr>
          <w:p>
            <w:pPr>
              <w:spacing w:after="0" w:line="480" w:lineRule="auto"/>
            </w:pPr>
            <w:r/>
            <w:r>
              <w:rPr>
                <w:rFonts w:ascii="Times New Roman" w:hAnsi="Times New Roman"/>
                <w:b w:val="0"/>
                <w:sz w:val="24"/>
              </w:rPr>
              <w:t>Stratified scenario comparison</w:t>
            </w:r>
          </w:p>
        </w:tc>
      </w:tr>
      <w:tr>
        <w:tc>
          <w:tcPr>
            <w:tcW w:type="dxa" w:w="2340"/>
            <w:vAlign w:val="center"/>
          </w:tcPr>
          <w:p>
            <w:pPr>
              <w:spacing w:after="0" w:line="480" w:lineRule="auto"/>
            </w:pPr>
            <w:r/>
            <w:r>
              <w:rPr>
                <w:rFonts w:ascii="Times New Roman" w:hAnsi="Times New Roman"/>
                <w:b w:val="0"/>
                <w:sz w:val="24"/>
              </w:rPr>
              <w:t>Independent</w:t>
            </w:r>
          </w:p>
        </w:tc>
        <w:tc>
          <w:tcPr>
            <w:tcW w:type="dxa" w:w="2340"/>
            <w:vAlign w:val="center"/>
          </w:tcPr>
          <w:p>
            <w:pPr>
              <w:spacing w:after="0" w:line="480" w:lineRule="auto"/>
            </w:pPr>
            <w:r/>
            <w:r>
              <w:rPr>
                <w:rFonts w:ascii="Times New Roman" w:hAnsi="Times New Roman"/>
                <w:b w:val="0"/>
                <w:sz w:val="24"/>
              </w:rPr>
              <w:t>Traffic load</w:t>
            </w:r>
          </w:p>
        </w:tc>
        <w:tc>
          <w:tcPr>
            <w:tcW w:type="dxa" w:w="2340"/>
            <w:vAlign w:val="center"/>
          </w:tcPr>
          <w:p>
            <w:pPr>
              <w:spacing w:after="0" w:line="480" w:lineRule="auto"/>
            </w:pPr>
            <w:r/>
            <w:r>
              <w:rPr>
                <w:rFonts w:ascii="Times New Roman" w:hAnsi="Times New Roman"/>
                <w:b w:val="0"/>
                <w:sz w:val="24"/>
              </w:rPr>
              <w:t>Predefined low, nominal, and stressed loads</w:t>
            </w:r>
          </w:p>
        </w:tc>
        <w:tc>
          <w:tcPr>
            <w:tcW w:type="dxa" w:w="2340"/>
            <w:vAlign w:val="center"/>
          </w:tcPr>
          <w:p>
            <w:pPr>
              <w:spacing w:after="0" w:line="480" w:lineRule="auto"/>
            </w:pPr>
            <w:r/>
            <w:r>
              <w:rPr>
                <w:rFonts w:ascii="Times New Roman" w:hAnsi="Times New Roman"/>
                <w:b w:val="0"/>
                <w:sz w:val="24"/>
              </w:rPr>
              <w:t>Robustness and latency</w:t>
            </w:r>
          </w:p>
        </w:tc>
      </w:tr>
      <w:tr>
        <w:tc>
          <w:tcPr>
            <w:tcW w:type="dxa" w:w="2340"/>
            <w:vAlign w:val="center"/>
          </w:tcPr>
          <w:p>
            <w:pPr>
              <w:spacing w:after="0" w:line="480" w:lineRule="auto"/>
            </w:pPr>
            <w:r/>
            <w:r>
              <w:rPr>
                <w:rFonts w:ascii="Times New Roman" w:hAnsi="Times New Roman"/>
                <w:b w:val="0"/>
                <w:sz w:val="24"/>
              </w:rPr>
              <w:t>Independent</w:t>
            </w:r>
          </w:p>
        </w:tc>
        <w:tc>
          <w:tcPr>
            <w:tcW w:type="dxa" w:w="2340"/>
            <w:vAlign w:val="center"/>
          </w:tcPr>
          <w:p>
            <w:pPr>
              <w:spacing w:after="0" w:line="480" w:lineRule="auto"/>
            </w:pPr>
            <w:r/>
            <w:r>
              <w:rPr>
                <w:rFonts w:ascii="Times New Roman" w:hAnsi="Times New Roman"/>
                <w:b w:val="0"/>
                <w:sz w:val="24"/>
              </w:rPr>
              <w:t>Operating condition</w:t>
            </w:r>
          </w:p>
        </w:tc>
        <w:tc>
          <w:tcPr>
            <w:tcW w:type="dxa" w:w="2340"/>
            <w:vAlign w:val="center"/>
          </w:tcPr>
          <w:p>
            <w:pPr>
              <w:spacing w:after="0" w:line="480" w:lineRule="auto"/>
            </w:pPr>
            <w:r/>
            <w:r>
              <w:rPr>
                <w:rFonts w:ascii="Times New Roman" w:hAnsi="Times New Roman"/>
                <w:b w:val="0"/>
                <w:sz w:val="24"/>
              </w:rPr>
              <w:t>Normal and predefined physical operating states or disturbances</w:t>
            </w:r>
          </w:p>
        </w:tc>
        <w:tc>
          <w:tcPr>
            <w:tcW w:type="dxa" w:w="2340"/>
            <w:vAlign w:val="center"/>
          </w:tcPr>
          <w:p>
            <w:pPr>
              <w:spacing w:after="0" w:line="480" w:lineRule="auto"/>
            </w:pPr>
            <w:r/>
            <w:r>
              <w:rPr>
                <w:rFonts w:ascii="Times New Roman" w:hAnsi="Times New Roman"/>
                <w:b w:val="0"/>
                <w:sz w:val="24"/>
              </w:rPr>
              <w:t>Generalisation and false alarms</w:t>
            </w:r>
          </w:p>
        </w:tc>
      </w:tr>
      <w:tr>
        <w:tc>
          <w:tcPr>
            <w:tcW w:type="dxa" w:w="2340"/>
            <w:vAlign w:val="center"/>
          </w:tcPr>
          <w:p>
            <w:pPr>
              <w:spacing w:after="0" w:line="480" w:lineRule="auto"/>
            </w:pPr>
            <w:r/>
            <w:r>
              <w:rPr>
                <w:rFonts w:ascii="Times New Roman" w:hAnsi="Times New Roman"/>
                <w:b w:val="0"/>
                <w:sz w:val="24"/>
              </w:rPr>
              <w:t>Independent</w:t>
            </w:r>
          </w:p>
        </w:tc>
        <w:tc>
          <w:tcPr>
            <w:tcW w:type="dxa" w:w="2340"/>
            <w:vAlign w:val="center"/>
          </w:tcPr>
          <w:p>
            <w:pPr>
              <w:spacing w:after="0" w:line="480" w:lineRule="auto"/>
            </w:pPr>
            <w:r/>
            <w:r>
              <w:rPr>
                <w:rFonts w:ascii="Times New Roman" w:hAnsi="Times New Roman"/>
                <w:b w:val="0"/>
                <w:sz w:val="24"/>
              </w:rPr>
              <w:t>Training coverage</w:t>
            </w:r>
          </w:p>
        </w:tc>
        <w:tc>
          <w:tcPr>
            <w:tcW w:type="dxa" w:w="2340"/>
            <w:vAlign w:val="center"/>
          </w:tcPr>
          <w:p>
            <w:pPr>
              <w:spacing w:after="0" w:line="480" w:lineRule="auto"/>
            </w:pPr>
            <w:r/>
            <w:r>
              <w:rPr>
                <w:rFonts w:ascii="Times New Roman" w:hAnsi="Times New Roman"/>
                <w:b w:val="0"/>
                <w:sz w:val="24"/>
              </w:rPr>
              <w:t>Seen scenario versus held-out attack/configuration/state</w:t>
            </w:r>
          </w:p>
        </w:tc>
        <w:tc>
          <w:tcPr>
            <w:tcW w:type="dxa" w:w="2340"/>
            <w:vAlign w:val="center"/>
          </w:tcPr>
          <w:p>
            <w:pPr>
              <w:spacing w:after="0" w:line="480" w:lineRule="auto"/>
            </w:pPr>
            <w:r/>
            <w:r>
              <w:rPr>
                <w:rFonts w:ascii="Times New Roman" w:hAnsi="Times New Roman"/>
                <w:b w:val="0"/>
                <w:sz w:val="24"/>
              </w:rPr>
              <w:t>Distribution-shift comparison</w:t>
            </w:r>
          </w:p>
        </w:tc>
      </w:tr>
      <w:tr>
        <w:tc>
          <w:tcPr>
            <w:tcW w:type="dxa" w:w="2340"/>
            <w:vAlign w:val="center"/>
          </w:tcPr>
          <w:p>
            <w:pPr>
              <w:spacing w:after="0" w:line="480" w:lineRule="auto"/>
            </w:pPr>
            <w:r/>
            <w:r>
              <w:rPr>
                <w:rFonts w:ascii="Times New Roman" w:hAnsi="Times New Roman"/>
                <w:b w:val="0"/>
                <w:sz w:val="24"/>
              </w:rPr>
              <w:t>Dependent</w:t>
            </w:r>
          </w:p>
        </w:tc>
        <w:tc>
          <w:tcPr>
            <w:tcW w:type="dxa" w:w="2340"/>
            <w:vAlign w:val="center"/>
          </w:tcPr>
          <w:p>
            <w:pPr>
              <w:spacing w:after="0" w:line="480" w:lineRule="auto"/>
            </w:pPr>
            <w:r/>
            <w:r>
              <w:rPr>
                <w:rFonts w:ascii="Times New Roman" w:hAnsi="Times New Roman"/>
                <w:b w:val="0"/>
                <w:sz w:val="24"/>
              </w:rPr>
              <w:t>Detection quality</w:t>
            </w:r>
          </w:p>
        </w:tc>
        <w:tc>
          <w:tcPr>
            <w:tcW w:type="dxa" w:w="2340"/>
            <w:vAlign w:val="center"/>
          </w:tcPr>
          <w:p>
            <w:pPr>
              <w:spacing w:after="0" w:line="480" w:lineRule="auto"/>
            </w:pPr>
            <w:r/>
            <w:r>
              <w:rPr>
                <w:rFonts w:ascii="Times New Roman" w:hAnsi="Times New Roman"/>
                <w:b w:val="0"/>
                <w:sz w:val="24"/>
              </w:rPr>
              <w:t>Precision, recall, F1-score, false-positive rate, confusion matrix</w:t>
            </w:r>
          </w:p>
        </w:tc>
        <w:tc>
          <w:tcPr>
            <w:tcW w:type="dxa" w:w="2340"/>
            <w:vAlign w:val="center"/>
          </w:tcPr>
          <w:p>
            <w:pPr>
              <w:spacing w:after="0" w:line="480" w:lineRule="auto"/>
            </w:pPr>
            <w:r/>
            <w:r>
              <w:rPr>
                <w:rFonts w:ascii="Times New Roman" w:hAnsi="Times New Roman"/>
                <w:b w:val="0"/>
                <w:sz w:val="24"/>
              </w:rPr>
              <w:t>Per-class and aggregate performance</w:t>
            </w:r>
          </w:p>
        </w:tc>
      </w:tr>
      <w:tr>
        <w:tc>
          <w:tcPr>
            <w:tcW w:type="dxa" w:w="2340"/>
            <w:vAlign w:val="center"/>
          </w:tcPr>
          <w:p>
            <w:pPr>
              <w:spacing w:after="0" w:line="480" w:lineRule="auto"/>
            </w:pPr>
            <w:r/>
            <w:r>
              <w:rPr>
                <w:rFonts w:ascii="Times New Roman" w:hAnsi="Times New Roman"/>
                <w:b w:val="0"/>
                <w:sz w:val="24"/>
              </w:rPr>
              <w:t>Dependent</w:t>
            </w:r>
          </w:p>
        </w:tc>
        <w:tc>
          <w:tcPr>
            <w:tcW w:type="dxa" w:w="2340"/>
            <w:vAlign w:val="center"/>
          </w:tcPr>
          <w:p>
            <w:pPr>
              <w:spacing w:after="0" w:line="480" w:lineRule="auto"/>
            </w:pPr>
            <w:r/>
            <w:r>
              <w:rPr>
                <w:rFonts w:ascii="Times New Roman" w:hAnsi="Times New Roman"/>
                <w:b w:val="0"/>
                <w:sz w:val="24"/>
              </w:rPr>
              <w:t>Detection delay</w:t>
            </w:r>
          </w:p>
        </w:tc>
        <w:tc>
          <w:tcPr>
            <w:tcW w:type="dxa" w:w="2340"/>
            <w:vAlign w:val="center"/>
          </w:tcPr>
          <w:p>
            <w:pPr>
              <w:spacing w:after="0" w:line="480" w:lineRule="auto"/>
            </w:pPr>
            <w:r/>
            <w:r>
              <w:rPr>
                <w:rFonts w:ascii="Times New Roman" w:hAnsi="Times New Roman"/>
                <w:b w:val="0"/>
                <w:sz w:val="24"/>
              </w:rPr>
              <w:t>Time from first malicious event to alert; milliseconds/seconds as appropriate</w:t>
            </w:r>
          </w:p>
        </w:tc>
        <w:tc>
          <w:tcPr>
            <w:tcW w:type="dxa" w:w="2340"/>
            <w:vAlign w:val="center"/>
          </w:tcPr>
          <w:p>
            <w:pPr>
              <w:spacing w:after="0" w:line="480" w:lineRule="auto"/>
            </w:pPr>
            <w:r/>
            <w:r>
              <w:rPr>
                <w:rFonts w:ascii="Times New Roman" w:hAnsi="Times New Roman"/>
                <w:b w:val="0"/>
                <w:sz w:val="24"/>
              </w:rPr>
              <w:t>Median and percentile latency</w:t>
            </w:r>
          </w:p>
        </w:tc>
      </w:tr>
      <w:tr>
        <w:tc>
          <w:tcPr>
            <w:tcW w:type="dxa" w:w="2340"/>
            <w:vAlign w:val="center"/>
          </w:tcPr>
          <w:p>
            <w:pPr>
              <w:spacing w:after="0" w:line="480" w:lineRule="auto"/>
            </w:pPr>
            <w:r/>
            <w:r>
              <w:rPr>
                <w:rFonts w:ascii="Times New Roman" w:hAnsi="Times New Roman"/>
                <w:b w:val="0"/>
                <w:sz w:val="24"/>
              </w:rPr>
              <w:t>Dependent</w:t>
            </w:r>
          </w:p>
        </w:tc>
        <w:tc>
          <w:tcPr>
            <w:tcW w:type="dxa" w:w="2340"/>
            <w:vAlign w:val="center"/>
          </w:tcPr>
          <w:p>
            <w:pPr>
              <w:spacing w:after="0" w:line="480" w:lineRule="auto"/>
            </w:pPr>
            <w:r/>
            <w:r>
              <w:rPr>
                <w:rFonts w:ascii="Times New Roman" w:hAnsi="Times New Roman"/>
                <w:b w:val="0"/>
                <w:sz w:val="24"/>
              </w:rPr>
              <w:t>Compute overhead</w:t>
            </w:r>
          </w:p>
        </w:tc>
        <w:tc>
          <w:tcPr>
            <w:tcW w:type="dxa" w:w="2340"/>
            <w:vAlign w:val="center"/>
          </w:tcPr>
          <w:p>
            <w:pPr>
              <w:spacing w:after="0" w:line="480" w:lineRule="auto"/>
            </w:pPr>
            <w:r/>
            <w:r>
              <w:rPr>
                <w:rFonts w:ascii="Times New Roman" w:hAnsi="Times New Roman"/>
                <w:b w:val="0"/>
                <w:sz w:val="24"/>
              </w:rPr>
              <w:t>central processing unit (CPU), memory, throughput, and added processing delay</w:t>
            </w:r>
          </w:p>
        </w:tc>
        <w:tc>
          <w:tcPr>
            <w:tcW w:type="dxa" w:w="2340"/>
            <w:vAlign w:val="center"/>
          </w:tcPr>
          <w:p>
            <w:pPr>
              <w:spacing w:after="0" w:line="480" w:lineRule="auto"/>
            </w:pPr>
            <w:r/>
            <w:r>
              <w:rPr>
                <w:rFonts w:ascii="Times New Roman" w:hAnsi="Times New Roman"/>
                <w:b w:val="0"/>
                <w:sz w:val="24"/>
              </w:rPr>
              <w:t>Feasibility assessment</w:t>
            </w:r>
          </w:p>
        </w:tc>
      </w:tr>
      <w:tr>
        <w:tc>
          <w:tcPr>
            <w:tcW w:type="dxa" w:w="2340"/>
            <w:vAlign w:val="center"/>
          </w:tcPr>
          <w:p>
            <w:pPr>
              <w:spacing w:after="0" w:line="480" w:lineRule="auto"/>
            </w:pPr>
            <w:r/>
            <w:r>
              <w:rPr>
                <w:rFonts w:ascii="Times New Roman" w:hAnsi="Times New Roman"/>
                <w:b w:val="0"/>
                <w:sz w:val="24"/>
              </w:rPr>
              <w:t>Dependent</w:t>
            </w:r>
          </w:p>
        </w:tc>
        <w:tc>
          <w:tcPr>
            <w:tcW w:type="dxa" w:w="2340"/>
            <w:vAlign w:val="center"/>
          </w:tcPr>
          <w:p>
            <w:pPr>
              <w:spacing w:after="0" w:line="480" w:lineRule="auto"/>
            </w:pPr>
            <w:r/>
            <w:r>
              <w:rPr>
                <w:rFonts w:ascii="Times New Roman" w:hAnsi="Times New Roman"/>
                <w:b w:val="0"/>
                <w:sz w:val="24"/>
              </w:rPr>
              <w:t>Mitigation outcome</w:t>
            </w:r>
          </w:p>
        </w:tc>
        <w:tc>
          <w:tcPr>
            <w:tcW w:type="dxa" w:w="2340"/>
            <w:vAlign w:val="center"/>
          </w:tcPr>
          <w:p>
            <w:pPr>
              <w:spacing w:after="0" w:line="480" w:lineRule="auto"/>
            </w:pPr>
            <w:r/>
            <w:r>
              <w:rPr>
                <w:rFonts w:ascii="Times New Roman" w:hAnsi="Times New Roman"/>
                <w:b w:val="0"/>
                <w:sz w:val="24"/>
              </w:rPr>
              <w:t>Time to response/recovery; deviation reduction; legitimate-control disruption</w:t>
            </w:r>
          </w:p>
        </w:tc>
        <w:tc>
          <w:tcPr>
            <w:tcW w:type="dxa" w:w="2340"/>
            <w:vAlign w:val="center"/>
          </w:tcPr>
          <w:p>
            <w:pPr>
              <w:spacing w:after="0" w:line="480" w:lineRule="auto"/>
            </w:pPr>
            <w:r/>
            <w:r>
              <w:rPr>
                <w:rFonts w:ascii="Times New Roman" w:hAnsi="Times New Roman"/>
                <w:b w:val="0"/>
                <w:sz w:val="24"/>
              </w:rPr>
              <w:t>Separate mitigation comparison</w:t>
            </w:r>
          </w:p>
        </w:tc>
      </w:tr>
      <w:tr>
        <w:tc>
          <w:tcPr>
            <w:tcW w:type="dxa" w:w="2340"/>
            <w:vAlign w:val="center"/>
          </w:tcPr>
          <w:p>
            <w:pPr>
              <w:spacing w:after="0" w:line="480" w:lineRule="auto"/>
            </w:pPr>
            <w:r/>
            <w:r>
              <w:rPr>
                <w:rFonts w:ascii="Times New Roman" w:hAnsi="Times New Roman"/>
                <w:b w:val="0"/>
                <w:sz w:val="24"/>
              </w:rPr>
              <w:t>Control</w:t>
            </w:r>
          </w:p>
        </w:tc>
        <w:tc>
          <w:tcPr>
            <w:tcW w:type="dxa" w:w="2340"/>
            <w:vAlign w:val="center"/>
          </w:tcPr>
          <w:p>
            <w:pPr>
              <w:spacing w:after="0" w:line="480" w:lineRule="auto"/>
            </w:pPr>
            <w:r/>
            <w:r>
              <w:rPr>
                <w:rFonts w:ascii="Times New Roman" w:hAnsi="Times New Roman"/>
                <w:b w:val="0"/>
                <w:sz w:val="24"/>
              </w:rPr>
              <w:t>Test configuration</w:t>
            </w:r>
          </w:p>
        </w:tc>
        <w:tc>
          <w:tcPr>
            <w:tcW w:type="dxa" w:w="2340"/>
            <w:vAlign w:val="center"/>
          </w:tcPr>
          <w:p>
            <w:pPr>
              <w:spacing w:after="0" w:line="480" w:lineRule="auto"/>
            </w:pPr>
            <w:r/>
            <w:r>
              <w:rPr>
                <w:rFonts w:ascii="Times New Roman" w:hAnsi="Times New Roman"/>
                <w:b w:val="0"/>
                <w:sz w:val="24"/>
              </w:rPr>
              <w:t>Grid model, protocol version, sampling, experiment duration, normal labels</w:t>
            </w:r>
          </w:p>
        </w:tc>
        <w:tc>
          <w:tcPr>
            <w:tcW w:type="dxa" w:w="2340"/>
            <w:vAlign w:val="center"/>
          </w:tcPr>
          <w:p>
            <w:pPr>
              <w:spacing w:after="0" w:line="480" w:lineRule="auto"/>
            </w:pPr>
            <w:r/>
            <w:r>
              <w:rPr>
                <w:rFonts w:ascii="Times New Roman" w:hAnsi="Times New Roman"/>
                <w:b w:val="0"/>
                <w:sz w:val="24"/>
              </w:rPr>
              <w:t>Hold constant or log per run</w:t>
            </w:r>
          </w:p>
        </w:tc>
      </w:tr>
      <w:tr>
        <w:tc>
          <w:tcPr>
            <w:tcW w:type="dxa" w:w="2340"/>
            <w:vAlign w:val="center"/>
          </w:tcPr>
          <w:p>
            <w:pPr>
              <w:spacing w:after="0" w:line="480" w:lineRule="auto"/>
            </w:pPr>
            <w:r/>
            <w:r>
              <w:rPr>
                <w:rFonts w:ascii="Times New Roman" w:hAnsi="Times New Roman"/>
                <w:b w:val="0"/>
                <w:sz w:val="24"/>
              </w:rPr>
              <w:t>Confounder</w:t>
            </w:r>
          </w:p>
        </w:tc>
        <w:tc>
          <w:tcPr>
            <w:tcW w:type="dxa" w:w="2340"/>
            <w:vAlign w:val="center"/>
          </w:tcPr>
          <w:p>
            <w:pPr>
              <w:spacing w:after="0" w:line="480" w:lineRule="auto"/>
            </w:pPr>
            <w:r/>
            <w:r>
              <w:rPr>
                <w:rFonts w:ascii="Times New Roman" w:hAnsi="Times New Roman"/>
                <w:b w:val="0"/>
                <w:sz w:val="24"/>
              </w:rPr>
              <w:t>Uncontrolled variation</w:t>
            </w:r>
          </w:p>
        </w:tc>
        <w:tc>
          <w:tcPr>
            <w:tcW w:type="dxa" w:w="2340"/>
            <w:vAlign w:val="center"/>
          </w:tcPr>
          <w:p>
            <w:pPr>
              <w:spacing w:after="0" w:line="480" w:lineRule="auto"/>
            </w:pPr>
            <w:r/>
            <w:r>
              <w:rPr>
                <w:rFonts w:ascii="Times New Roman" w:hAnsi="Times New Roman"/>
                <w:b w:val="0"/>
                <w:sz w:val="24"/>
              </w:rPr>
              <w:t>Clock offset, packet loss, measurement noise, topology changes, random seed</w:t>
            </w:r>
          </w:p>
        </w:tc>
        <w:tc>
          <w:tcPr>
            <w:tcW w:type="dxa" w:w="2340"/>
            <w:vAlign w:val="center"/>
          </w:tcPr>
          <w:p>
            <w:pPr>
              <w:spacing w:after="0" w:line="480" w:lineRule="auto"/>
            </w:pPr>
            <w:r/>
            <w:r>
              <w:rPr>
                <w:rFonts w:ascii="Times New Roman" w:hAnsi="Times New Roman"/>
                <w:b w:val="0"/>
                <w:sz w:val="24"/>
              </w:rPr>
              <w:t>Measure, stratify, or repeat</w:t>
            </w:r>
          </w:p>
        </w:tc>
      </w:tr>
    </w:tbl>
    <w:p>
      <w:pPr>
        <w:spacing w:after="0" w:line="480" w:lineRule="auto"/>
      </w:pPr>
      <w:r>
        <w:rPr>
          <w:i/>
          <w:sz w:val="24"/>
        </w:rPr>
        <w:t>Note. Candidate features and physical measures depend on testbed availability. Report all final definitions, units, sample rates, and thresholds before the confirmatory experiment.</w:t>
      </w:r>
    </w:p>
    <w:p>
      <w:pPr>
        <w:pStyle w:val="Heading2"/>
      </w:pPr>
      <w:r>
        <w:t>3.4 Data and Feature Collection</w:t>
      </w:r>
    </w:p>
    <w:p>
      <w:r>
        <w:rPr>
          <w:i w:val="0"/>
        </w:rPr>
        <w:t>The data record should synchronise packet metadata, protocol events, IDS alerts, control commands, measurements, and simulator state. Candidate network features based on the baseline include round-trip time, retransmission rate, packet inter-arrival time, protocol function or event anomalies, connection state, and IDS alert type. Candidate process features include voltage, frequency, power flow, breaker state, state-estimation residuals, and the expected response to a control action. The feature set must be selected before final testing and tied to each research question. Values should be sampled with timestamps, source labels, units, and missing-data indicators.</w:t>
      </w:r>
    </w:p>
    <w:p>
      <w:r>
        <w:rPr>
          <w:i w:val="0"/>
        </w:rPr>
        <w:t>A candidate source for a preliminary paired-data pilot is the SmartGrid-CyberPhysical-Attack-Dataset on Institute of Electrical and Electronics Engineers (IEEE) DataPort. Its record describes synchronized cyber and physical files for benign operation and several attack scenarios, including false-data injection. It can support building paired network-only and cross-layer model predictions on common test cases, subject to access terms and validation of its schema, labels, sampling, protocol, and scenario documentation (SmartGrid-CyberPhysical-Attack-Dataset, 2025). The listed scenarios do not establish coverage of the baseline’s replay and false-command injection cases or exact equivalence to Wlazlo et al.’s testbed. It is therefore a pilot resource, not a substitute for the proposed authorised, protocol-matched experiment.</w:t>
      </w:r>
    </w:p>
    <w:p>
      <w:r>
        <w:rPr>
          <w:i w:val="0"/>
        </w:rPr>
        <w:t>A ready-made paired detector-output file is not implied by the dataset record. The researcher should train both detectors using the same training and validation split, then save one row per shared test window with scenario_id, run_id, timestamp, true_label, network_only_prediction, and adaptive_cross_layer_prediction. Compute each model’s F1-score from these paired predictions at thresholds fixed before test evaluation. Keep splits grouped by scenario or run to prevent leakage.</w:t>
      </w:r>
    </w:p>
    <w:p>
      <w:r>
        <w:rPr>
          <w:i w:val="0"/>
        </w:rPr>
        <w:t>Time alignment is a prerequisite for cross-layer interpretation. The experiment should measure clock offset and report how windows are formed around each event. If clock quality falls outside a predefined tolerance, that run should be flagged or excluded according to a rule set before outcome review. Data should be partitioned by run or scenario so that overlapping windows and near-identical attack traces do not leak across training and test partitions.</w:t>
      </w:r>
    </w:p>
    <w:p>
      <w:pPr>
        <w:pStyle w:val="Heading2"/>
      </w:pPr>
      <w:r>
        <w:t>3.5 Scenario Matrix and Procedure</w:t>
      </w:r>
    </w:p>
    <w:p>
      <w:r>
        <w:rPr>
          <w:i w:val="0"/>
        </w:rPr>
        <w:t>1. Establish normal baselines under the defined grid states, including benign delay, packet loss, traffic load changes, and physical disturbances relevant to the simulator. Label each benign condition separately.</w:t>
      </w:r>
    </w:p>
    <w:p>
      <w:r>
        <w:rPr>
          <w:i w:val="0"/>
        </w:rPr>
        <w:t>2. Run replay, FDI, and FCI scenarios in the isolated environment. Record attack start and stop, message type, endpoint, manipulation class, operating state, and ground-truth physical effect. Keep the scenario specification reproducible but confined to the laboratory.</w:t>
      </w:r>
    </w:p>
    <w:p>
      <w:r>
        <w:rPr>
          <w:i w:val="0"/>
        </w:rPr>
        <w:t>3. Repeat each scenario across fixed seeds or repeated runs. Balance or document class prevalence and do not create a test set that is easier than deployment conditions.</w:t>
      </w:r>
    </w:p>
    <w:p>
      <w:r>
        <w:rPr>
          <w:i w:val="0"/>
        </w:rPr>
        <w:t>4. Split data by run and, where feasible, by attack configuration, operating state, or topology. Preserve a held-out subset for generalisation testing.</w:t>
      </w:r>
    </w:p>
    <w:p>
      <w:r>
        <w:rPr>
          <w:i w:val="0"/>
        </w:rPr>
        <w:t>5. Train and calibrate the network-only and cross-layer detectors using training and validation data only. Freeze detector settings before the test evaluation. Specify any adaptive update rule and bounds before validation.</w:t>
      </w:r>
    </w:p>
    <w:p>
      <w:r>
        <w:rPr>
          <w:i w:val="0"/>
        </w:rPr>
        <w:t>6. Apply the rule-based detector with thresholds set on validation data or pre-registered engineering rules. Apply each detector to the same test cases.</w:t>
      </w:r>
    </w:p>
    <w:p>
      <w:r>
        <w:rPr>
          <w:i w:val="0"/>
        </w:rPr>
        <w:t>7. Evaluate mitigation separately in paired detection-only and detection-plus-mitigation runs. Measure physical deviation, time to recovery, legitimate command disruption, and safety-limit violations.</w:t>
      </w:r>
    </w:p>
    <w:p>
      <w:pPr>
        <w:pStyle w:val="Heading2"/>
      </w:pPr>
      <w:r>
        <w:t>3.6 Candidate Detection and Adaptation Logic</w:t>
      </w:r>
    </w:p>
    <w:p>
      <w:r>
        <w:rPr>
          <w:i w:val="0"/>
        </w:rPr>
        <w:t>The detector should first align observations and compute a feature vector x(t) from network telemetry, process measurements, operating context, and sensor-quality flags. A network-only baseline uses the network subset; a rule baseline applies documented limits; the proposed model uses both cyber and physical features. Candidate model families named in the proposal include logistic regression, random forest, gradient-boosted trees, and autoencoders. A pilot on training data should select a model using validation performance and interpretability requirements, not test-set outcomes.</w:t>
      </w:r>
    </w:p>
    <w:p>
      <w:r>
        <w:rPr>
          <w:i w:val="0"/>
        </w:rPr>
        <w:t>An interpretable output can be a calibrated attack probability p(t) accompanied by the principal contributing features and quality flags. An adaptive layer may update state-specific baselines or recalibrate thresholds only within a pre-approved envelope. Distribution shift should produce a drift warning and, when confidence is inadequate, a conservative operator-review state. Updates should be gated by trusted labels or reviewed data; uncertain alerts must not automatically become training labels. This limits feedback contamination and model poisoning risk. The framework’s adaptation is therefore bounded and auditable rather than unrestricted online learning.</w:t>
      </w:r>
    </w:p>
    <w:p>
      <w:pPr>
        <w:pStyle w:val="Heading2"/>
      </w:pPr>
      <w:r>
        <w:t>3.7 Mitigation Policy</w:t>
      </w:r>
    </w:p>
    <w:p>
      <w:r>
        <w:rPr>
          <w:i w:val="0"/>
        </w:rPr>
        <w:t>Mitigation is a separate experimental factor. Before testing, the testbed owner should define a state machine that maps alert confidence, corroborating physical evidence, control criticality, and sensor quality to permitted responses. A low-confidence alert may notify an operator and preserve evidence. A corroborated suspicious command may be held for validation or rejected only where the simulated control architecture has a safe alternative. Network isolation or fallback operation may be evaluated only if the testbed has validated that response. No action should bypass protection relays or independently change live grid settings.</w:t>
      </w:r>
    </w:p>
    <w:p>
      <w:r>
        <w:rPr>
          <w:i w:val="0"/>
        </w:rPr>
        <w:t>The primary mitigation outcome is the difference in a predefined physical-impact measure between matched attack runs with detection-only and with mitigation enabled. Secondary outcomes include time to containment, time to recovery, false intervention rate, and legitimate control disruption. Operational limits should be specified by the model and its owner; they must not be fabricated from generic thresholds.</w:t>
      </w:r>
    </w:p>
    <w:p>
      <w:pPr>
        <w:pStyle w:val="Heading2"/>
      </w:pPr>
      <w:r>
        <w:t>3.8 Data Analysis Plan</w:t>
      </w:r>
    </w:p>
    <w:p>
      <w:r>
        <w:rPr>
          <w:i w:val="0"/>
        </w:rPr>
        <w:t>For each detector, define a true positive (TP) as a correctly identified attack, a false positive (FP) as a benign case incorrectly flagged, a false negative (FN) as a missed attack, and a true negative (TN) as a correctly identified benign case. Calculate precision = TP/(TP+FP), recall = TP/(TP+FN), F1 = 2(precision × recall)/(precision + recall), and false-positive rate = FP/(FP+TN). Report confusion matrices and attack-class-specific metrics. Report accuracy only as supplementary information if class prevalence is imbalanced. Summarise detection delay and resource use using medians and upper percentiles when distributions are skewed. Report precision-recall curves or threshold trade-offs where useful, and confidence intervals from repeated trials or an appropriate resampling method.</w:t>
      </w:r>
    </w:p>
    <w:p>
      <w:r>
        <w:rPr>
          <w:i w:val="0"/>
        </w:rPr>
        <w:t>Use paired comparisons when detector outputs come from the same runs. Select inferential tests only after checking data structure and assumptions; report effect sizes and uncertainty rather than significance alone. For generalisation, report performance separately for seen and held-out scenarios and quantify the change. For mitigation, compare paired physical-impact outcomes and legitimate-operation costs. Failures, unsafe or unavailable responses, and negative results must be reported. These analyses cannot be completed until primary data exist.</w:t>
      </w:r>
    </w:p>
    <w:p>
      <w:pPr>
        <w:keepNext/>
        <w:spacing w:before="0" w:after="0" w:line="480" w:lineRule="auto"/>
      </w:pPr>
      <w:r>
        <w:rPr>
          <w:b/>
          <w:sz w:val="28"/>
        </w:rPr>
        <w:t>Figure 2</w:t>
        <w:br/>
        <w:t>Experimental Workflow and Evidence Path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18364E"/>
          </w:tcPr>
          <w:p>
            <w:pPr>
              <w:spacing w:after="0" w:line="480" w:lineRule="auto"/>
            </w:pPr>
            <w:r/>
            <w:r>
              <w:rPr>
                <w:rFonts w:ascii="Times New Roman" w:hAnsi="Times New Roman"/>
                <w:b/>
                <w:color w:val="FFFFFF"/>
                <w:sz w:val="24"/>
              </w:rPr>
              <w:t>Authorised isolated testbed</w:t>
            </w:r>
          </w:p>
        </w:tc>
        <w:tc>
          <w:tcPr>
            <w:tcW w:type="dxa" w:w="2340"/>
            <w:vAlign w:val="center"/>
            <w:shd w:fill="18364E"/>
          </w:tcPr>
          <w:p>
            <w:pPr>
              <w:spacing w:after="0" w:line="480" w:lineRule="auto"/>
            </w:pPr>
            <w:r/>
            <w:r>
              <w:rPr>
                <w:rFonts w:ascii="Times New Roman" w:hAnsi="Times New Roman"/>
                <w:b/>
                <w:color w:val="FFFFFF"/>
                <w:sz w:val="24"/>
              </w:rPr>
              <w:t>Scenario generation</w:t>
            </w:r>
          </w:p>
        </w:tc>
        <w:tc>
          <w:tcPr>
            <w:tcW w:type="dxa" w:w="2340"/>
            <w:vAlign w:val="center"/>
            <w:shd w:fill="18364E"/>
          </w:tcPr>
          <w:p>
            <w:pPr>
              <w:spacing w:after="0" w:line="480" w:lineRule="auto"/>
            </w:pPr>
            <w:r/>
            <w:r>
              <w:rPr>
                <w:rFonts w:ascii="Times New Roman" w:hAnsi="Times New Roman"/>
                <w:b/>
                <w:color w:val="FFFFFF"/>
                <w:sz w:val="24"/>
              </w:rPr>
              <w:t>Time-aligned labelled logs</w:t>
            </w:r>
          </w:p>
        </w:tc>
        <w:tc>
          <w:tcPr>
            <w:tcW w:type="dxa" w:w="2340"/>
            <w:vAlign w:val="center"/>
            <w:shd w:fill="18364E"/>
          </w:tcPr>
          <w:p>
            <w:pPr>
              <w:spacing w:after="0" w:line="480" w:lineRule="auto"/>
            </w:pPr>
            <w:r/>
            <w:r>
              <w:rPr>
                <w:rFonts w:ascii="Times New Roman" w:hAnsi="Times New Roman"/>
                <w:b/>
                <w:color w:val="FFFFFF"/>
                <w:sz w:val="24"/>
              </w:rPr>
              <w:t>Grouped train/validation/test</w:t>
            </w:r>
          </w:p>
        </w:tc>
      </w:tr>
      <w:tr>
        <w:tc>
          <w:tcPr>
            <w:tcW w:type="dxa" w:w="2340"/>
            <w:vAlign w:val="center"/>
            <w:shd w:fill="EAF1F6"/>
          </w:tcPr>
          <w:p>
            <w:pPr>
              <w:spacing w:after="0" w:line="480" w:lineRule="auto"/>
            </w:pPr>
            <w:r/>
            <w:r>
              <w:rPr>
                <w:rFonts w:ascii="Times New Roman" w:hAnsi="Times New Roman"/>
                <w:b w:val="0"/>
                <w:sz w:val="24"/>
              </w:rPr>
              <w:t>Three detector comparisons</w:t>
            </w:r>
          </w:p>
        </w:tc>
        <w:tc>
          <w:tcPr>
            <w:tcW w:type="dxa" w:w="2340"/>
            <w:vAlign w:val="center"/>
            <w:shd w:fill="EAF1F6"/>
          </w:tcPr>
          <w:p>
            <w:pPr>
              <w:spacing w:after="0" w:line="480" w:lineRule="auto"/>
            </w:pPr>
            <w:r/>
            <w:r>
              <w:rPr>
                <w:rFonts w:ascii="Times New Roman" w:hAnsi="Times New Roman"/>
                <w:b w:val="0"/>
                <w:sz w:val="24"/>
              </w:rPr>
              <w:t>Held-out condition evaluation</w:t>
            </w:r>
          </w:p>
        </w:tc>
        <w:tc>
          <w:tcPr>
            <w:tcW w:type="dxa" w:w="2340"/>
            <w:vAlign w:val="center"/>
            <w:shd w:fill="EAF1F6"/>
          </w:tcPr>
          <w:p>
            <w:pPr>
              <w:spacing w:after="0" w:line="480" w:lineRule="auto"/>
            </w:pPr>
            <w:r/>
            <w:r>
              <w:rPr>
                <w:rFonts w:ascii="Times New Roman" w:hAnsi="Times New Roman"/>
                <w:b w:val="0"/>
                <w:sz w:val="24"/>
              </w:rPr>
              <w:t>Safety-gated mitigation trials</w:t>
            </w:r>
          </w:p>
        </w:tc>
        <w:tc>
          <w:tcPr>
            <w:tcW w:type="dxa" w:w="2340"/>
            <w:vAlign w:val="center"/>
            <w:shd w:fill="EAF1F6"/>
          </w:tcPr>
          <w:p>
            <w:pPr>
              <w:spacing w:after="0" w:line="480" w:lineRule="auto"/>
            </w:pPr>
            <w:r/>
            <w:r>
              <w:rPr>
                <w:rFonts w:ascii="Times New Roman" w:hAnsi="Times New Roman"/>
                <w:b w:val="0"/>
                <w:sz w:val="24"/>
              </w:rPr>
              <w:t>Metrics, uncertainty, limitations</w:t>
            </w:r>
          </w:p>
        </w:tc>
      </w:tr>
    </w:tbl>
    <w:p>
      <w:pPr>
        <w:spacing w:after="0" w:line="480" w:lineRule="auto"/>
      </w:pPr>
      <w:r>
        <w:rPr>
          <w:i/>
          <w:sz w:val="24"/>
        </w:rPr>
        <w:t>Note. Author’s study protocol based on the supplied proposal. The current document completed the documentary and design stages; testbed and evaluation stages remain to be conducted.</w:t>
      </w:r>
    </w:p>
    <w:p>
      <w:pPr>
        <w:pStyle w:val="Heading2"/>
      </w:pPr>
      <w:r>
        <w:t>3.9 Validity, Ethics and Safety</w:t>
      </w:r>
    </w:p>
    <w:p>
      <w:r>
        <w:rPr>
          <w:i w:val="0"/>
        </w:rPr>
        <w:t>Internal validity depends on consistent labels, fixed comparison conditions, and leakage-resistant data splits. Construct validity depends on whether the simulated attacks, physical-impact measures, and benign conditions represent the stated concepts. External validity is limited by simulator fidelity, protocol implementation, asset diversity, and Nigeria-specific operational differences. Repeated scenarios, sensitivity analyses, transparent feature definitions, and explicit testbed assumptions can strengthen interpretation but cannot remove these limits.</w:t>
      </w:r>
    </w:p>
    <w:p>
      <w:r>
        <w:rPr>
          <w:i w:val="0"/>
        </w:rPr>
        <w:t>The work must remain within an authorised, isolated research environment. No utility, public network, or live operational asset should be probed or manipulated. Use synthetic or explicitly authorised data, follow institutional ethics and data-handling rules, restrict access to experiment artifacts, and document an emergency stop and reset procedure. Any future collaboration with a Nigerian utility requires written authorisation, safety review, and agreement on data ownership and disclosure. These protections are methodological conditions, not optional deployment advice.</w:t>
      </w:r>
    </w:p>
    <w:p>
      <w:r>
        <w:br w:type="page"/>
      </w:r>
    </w:p>
    <w:p>
      <w:pPr>
        <w:pStyle w:val="Heading1"/>
      </w:pPr>
      <w:r>
        <w:t>4 Results and Discussion</w:t>
      </w:r>
    </w:p>
    <w:p>
      <w:pPr>
        <w:pStyle w:val="Heading2"/>
      </w:pPr>
      <w:r>
        <w:t>4.1 Results of the Baseline Analysis</w:t>
      </w:r>
    </w:p>
    <w:p>
      <w:r>
        <w:rPr>
          <w:i w:val="0"/>
        </w:rPr>
        <w:t>The baseline analysis confirms four elements directly relevant to this work. First, Wlazlo et al. (2021) use an emulation-based cyber-physical testbed with a large synthetic grid model and DNP3 communication. Second, their investigated MiTM outcomes include false-data, false-command, and replay scenarios. Third, their detection design combines Snort IDS alerts with network monitoring, including delay and retransmission-related signals. Fourth, the paper explains that ordinary variation in industrial communication timing makes added latency an ambiguous indicator. These findings justify retaining the baseline’s attack taxonomy and testing network indicators alongside process evidence.</w:t>
      </w:r>
    </w:p>
    <w:p>
      <w:r>
        <w:rPr>
          <w:i w:val="0"/>
        </w:rPr>
        <w:t>The baseline also supports controlled experimentation: its testbed joins network emulation, DNP3 masters, and a real-time power-system simulator, with data from cyber and physical components. This creates an appropriate model for research reproducibility. The extension specified here is not to reproduce its attack scripts, but to compare detector classes, isolate unseen operating conditions, and measure mitigation outcomes under predefined safety constraints.</w:t>
      </w:r>
    </w:p>
    <w:p>
      <w:pPr>
        <w:pStyle w:val="Heading2"/>
      </w:pPr>
      <w:r>
        <w:t>4.2 Results of Nigerian Context Synthesis</w:t>
      </w:r>
    </w:p>
    <w:p>
      <w:r>
        <w:rPr>
          <w:i w:val="0"/>
        </w:rPr>
        <w:t>The Nigerian evidence establishes an active SCADA integration context. The Nigerian Electricity Regulatory Commission (NERC) reported in December 2024 that TCN was deploying an SCADA and Electricity Management System integrating transmission and distribution, while stakeholders discussed integration of power plants (NERC, 2024). The study therefore frames a segmented, evolving SCADA environment as the relevant deployment context and recommends staged, protocol-specific evaluation rather than assuming one model applies to every licensee or asset.</w:t>
      </w:r>
    </w:p>
    <w:p>
      <w:r>
        <w:rPr>
          <w:i w:val="0"/>
        </w:rPr>
        <w:t>NERC’s annual data for 2024 show that normal system behaviour is not equivalent to a narrow, static operating point: reported frequency bounds remained outside the normal band, and the report recorded nine system collapse incidents (NERC, 2025). This finding strengthens the need for benign disturbances and grid-state labels in a Nigerian detector evaluation. It does not show that cybersecurity caused the conditions. The research implication is to include the operating state as context and to test whether cross-layer evidence can avoid misclassifying a real physical disturbance as a cyberattack.</w:t>
      </w:r>
    </w:p>
    <w:p>
      <w:r>
        <w:rPr>
          <w:i w:val="0"/>
        </w:rPr>
        <w:t>The national cybersecurity strategy and Nigeria-focused assessment support a whole-of-system incident-response posture. ngCERT (2021) emphasizes critical information infrastructure resilience, while Ogundari et al. (2021) identify people, processes, and technology as necessary elements of an electricity-sector cybersecurity approach. In this proposed framework, those elements map to operator review and training, pre-approved response procedures, and monitored SCADA/OT technology. This is a design mapping, not a field finding about the readiness of a particular utility.</w:t>
      </w:r>
    </w:p>
    <w:p>
      <w:pPr>
        <w:pStyle w:val="Heading2"/>
      </w:pPr>
      <w:r>
        <w:t>4.3 Research Design Output</w:t>
      </w:r>
    </w:p>
    <w:p>
      <w:r>
        <w:rPr>
          <w:i w:val="0"/>
        </w:rPr>
        <w:t>The completed design output is a five-stage framework shown in Figure 1: collect network evidence; collect physical evidence; align and qualify the data; compute an adaptive cross-layer alert with confidence; and use a safety-gated response followed by recovery and review. It specifies the network-only and rule-based methods as comparison baselines, preserving a fair test of whether cross-layer evidence adds value. It also specifies separate detection and mitigation outcomes so that a high F1-score cannot be mistaken for safe operation.</w:t>
      </w:r>
    </w:p>
    <w:p>
      <w:r>
        <w:rPr>
          <w:i w:val="0"/>
        </w:rPr>
        <w:t>Table 1 operationalises the proposal’s independent, dependent, control, and confounding variables. Figure 2 lays out the experiment from isolation and scenario generation through grouped evaluation and reporting. Together these provide a reproducible procedure, but they are design artifacts; they do not constitute a completed testbed evaluation or evidence that the adaptive detector is effective.</w:t>
      </w:r>
    </w:p>
    <w:p>
      <w:pPr>
        <w:pStyle w:val="Heading2"/>
      </w:pPr>
      <w:r>
        <w:t>4.4 Hypothesis Status and Interpretation</w:t>
      </w:r>
    </w:p>
    <w:p>
      <w:r>
        <w:rPr>
          <w:i w:val="0"/>
        </w:rPr>
        <w:t>1. H1 is untested. No paired detector outputs are available to compare the adaptive cross-layer F1-score with the network-only baseline.</w:t>
      </w:r>
    </w:p>
    <w:p>
      <w:r>
        <w:rPr>
          <w:i w:val="0"/>
        </w:rPr>
        <w:t>2. H2 is untested. A lower false-positive rate at comparable recall requires validation data and a declared operating threshold for each detector.</w:t>
      </w:r>
    </w:p>
    <w:p>
      <w:r>
        <w:rPr>
          <w:i w:val="0"/>
        </w:rPr>
        <w:t>3. H3 is untested. It requires separate seen and held-out condition test sets and a defined measure of performance decline.</w:t>
      </w:r>
    </w:p>
    <w:p>
      <w:r>
        <w:rPr>
          <w:i w:val="0"/>
        </w:rPr>
        <w:t>4. H4 is untested. It requires matched detection-only and mitigation-enabled runs with physical-impact and legitimate-disruption measures.</w:t>
      </w:r>
    </w:p>
    <w:p>
      <w:r>
        <w:rPr>
          <w:i w:val="0"/>
        </w:rPr>
        <w:t>The evidence nevertheless supports the logic of testing these hypotheses. Wlazlo et al. (2021) describe timing ambiguity and use multiple alerts; the Nigerian operating context provides a further reason to include benign network and physical variation; and OT guidance requires safety and availability to remain part of the evaluation (Stouffer et al., 2023). That combined rationale justifies the experiment but does not establish its outcome.</w:t>
      </w:r>
    </w:p>
    <w:p>
      <w:pPr>
        <w:pStyle w:val="Heading2"/>
      </w:pPr>
      <w:r>
        <w:t>4.5 Discussion of the Proposed Framework</w:t>
      </w:r>
    </w:p>
    <w:p>
      <w:r>
        <w:rPr>
          <w:i w:val="0"/>
        </w:rPr>
        <w:t>The main technical design choice is cross-layer correlation with explicit data-quality handling. Physical evidence can reduce ambiguity when a message-level anomaly coincides with a process response inconsistent with the expected command or state. Conversely, a physical deviation without supporting cyber evidence may be a real disturbance, a sensor fault, or a model mismatch. The detector should therefore report confidence and evidence provenance, and the operator response should account for sensor quality and operating state.</w:t>
      </w:r>
    </w:p>
    <w:p>
      <w:r>
        <w:rPr>
          <w:i w:val="0"/>
        </w:rPr>
        <w:t>Adaptation is useful only if the system remains auditable. A static global threshold may be brittle as traffic and operating conditions change, but unrestricted online learning can absorb attacks or incorrect labels as normal behaviour. The proposed compromise is bounded state-aware recalibration, drift alerts, and reviewed updates. Whether that compromise improves generalisation remains an empirical question.</w:t>
      </w:r>
    </w:p>
    <w:p>
      <w:r>
        <w:rPr>
          <w:i w:val="0"/>
        </w:rPr>
        <w:t>For Nigeria, feasibility also depends on data and governance. The SCADA transition creates an opportunity to define consistent timestamps, event labels, and monitoring interfaces, but a study cannot assume comprehensive real-time access or uniform assets. A pilot should begin with one authorised test segment, record vendor and protocol boundaries, and involve operations staff in defining safe response limits. This supports staged research without overstating whole-grid applicability.</w:t>
      </w:r>
    </w:p>
    <w:p>
      <w:pPr>
        <w:pStyle w:val="Heading2"/>
      </w:pPr>
      <w:r>
        <w:t>4.6 Limitations of the Present Results</w:t>
      </w:r>
    </w:p>
    <w:p>
      <w:r>
        <w:rPr>
          <w:i w:val="0"/>
        </w:rPr>
        <w:t>The result set is limited to evidence synthesis and research-design output. No labelled dataset, emulated traffic, trained detector, statistical comparison, or mitigation experiment was available in the supplied materials or generated during this assignment. Therefore, no numerical performance values, confidence intervals, significance tests, or operational benefits are asserted. The hypotheses remain untested. The documentary synthesis may also omit relevant studies not captured in the selected sources, and Nigeria-level policy or regulator evidence cannot substitute for utility-specific system documentation. These limitations should be resolved by implementing the controlled experiment and expanding the literature review before making empirical or deployment claims.</w:t>
      </w:r>
    </w:p>
    <w:p>
      <w:r>
        <w:br w:type="page"/>
      </w:r>
    </w:p>
    <w:p>
      <w:pPr>
        <w:pStyle w:val="Heading1"/>
      </w:pPr>
      <w:r>
        <w:t>5 Conclusion and Recommendations</w:t>
      </w:r>
    </w:p>
    <w:p>
      <w:pPr>
        <w:pStyle w:val="Heading2"/>
      </w:pPr>
      <w:r>
        <w:t>5.1 Conclusion</w:t>
      </w:r>
    </w:p>
    <w:p>
      <w:r>
        <w:rPr>
          <w:i w:val="0"/>
        </w:rPr>
        <w:t>This research work has developed a Nigeria-focused, proposal-aligned framework and evaluation methodology for adaptive detection and mitigation of stealthy MiTM attacks in power systems. It uses Wlazlo et al. (2021) as the baseline and retains the study’s focus on DNP3, replay, FDI, FCI, network monitoring, and cyber-physical testbed evaluation. It extends that foundation by specifying a comparative adaptive cross-layer detector, held-out-condition testing, Nigerian benign operating variation, and separate safety-aware mitigation outcomes.</w:t>
      </w:r>
    </w:p>
    <w:p>
      <w:r>
        <w:rPr>
          <w:i w:val="0"/>
        </w:rPr>
        <w:t>The work completed here is a documentary analysis and experimental design, not a primary performance study. The evidence supports the need for a fair test but does not show that cross-layer adaptation improves F1-score, false alarms, generalisation, or physical impact. The four hypotheses remain open. This distinction protects the credibility of the research and identifies the next step needed for a thesis with empirical results.</w:t>
      </w:r>
    </w:p>
    <w:p>
      <w:pPr>
        <w:pStyle w:val="Heading2"/>
      </w:pPr>
      <w:r>
        <w:t>5.2 Recommendations</w:t>
      </w:r>
    </w:p>
    <w:p>
      <w:r>
        <w:rPr>
          <w:i w:val="0"/>
        </w:rPr>
        <w:t>1. Implement the stated experiment in an isolated and authorised cyber-physical testbed before reporting hypothesis outcomes. Publish the simulator, protocol, topology, sampling, labels, scenario matrix, and run configuration.</w:t>
      </w:r>
    </w:p>
    <w:p>
      <w:r>
        <w:rPr>
          <w:i w:val="0"/>
        </w:rPr>
        <w:t>2. Keep the rule-based, network-only, and adaptive cross-layer methods on identical grouped train, validation, and test partitions. Reserve attack configurations or operating conditions for held-out testing and report per-class precision, recall, F1, false-positive rate, latency, and resource use.</w:t>
      </w:r>
    </w:p>
    <w:p>
      <w:r>
        <w:rPr>
          <w:i w:val="0"/>
        </w:rPr>
        <w:t>3. Include Nigerian-relevant benign variation such as communication delay and loss, traffic changes, and physical disturbances, and label these conditions independently from attacks. Use current operational limits supplied by the testbed owner rather than inferring limits from national aggregate statistics.</w:t>
      </w:r>
    </w:p>
    <w:p>
      <w:r>
        <w:rPr>
          <w:i w:val="0"/>
        </w:rPr>
        <w:t>4. Define the mitigation action set, safety constraints, and emergency stop with testbed engineers before testing. Measure physical deviation reduction and legitimate-operation disruption in paired runs. Keep automated actions in simulation unless separately authorised and safety validated.</w:t>
      </w:r>
    </w:p>
    <w:p>
      <w:r>
        <w:rPr>
          <w:i w:val="0"/>
        </w:rPr>
        <w:t>5. Engage Nigerian power-sector operators, Nigerian Independent System Operator (NISO)/TCN, generation and distribution stakeholders, Nigerian research labs, and relevant cybersecurity bodies to establish an authorised pilot, data governance, incident reporting, and utility-specific interpretation.</w:t>
      </w:r>
    </w:p>
    <w:p>
      <w:r>
        <w:rPr>
          <w:i w:val="0"/>
        </w:rPr>
        <w:t>6. Treat data quality and model governance as first-class controls: verify time alignment, protect labels, record drift, require review for updates, preserve audit trails, and report failures and negative results.</w:t>
      </w:r>
    </w:p>
    <w:p>
      <w:r>
        <w:rPr>
          <w:i w:val="0"/>
        </w:rPr>
        <w:t>7. Stage future research by protocol and asset class. Begin with a reproducible DNP3 benchmark aligned to the baseline, then separately validate transfer to IEC 61850, Modbus, or other locally deployed systems.</w:t>
      </w:r>
    </w:p>
    <w:p>
      <w:pPr>
        <w:pStyle w:val="Heading2"/>
      </w:pPr>
      <w:r>
        <w:t>5.3 Achievement of the Aim and Specific Objectives</w:t>
      </w:r>
    </w:p>
    <w:p>
      <w:r>
        <w:rPr>
          <w:i w:val="0"/>
        </w:rPr>
        <w:t>The aim and objectives have been achieved at the design, documentary-analysis, and evidence-synthesis level of this research work. The adaptive cross-layer framework, Nigerian context, experimental comparison, variable definitions, safety gates, and analysis plan are now specified. The performance-evaluation component is not empirically complete because no paired detector outputs or authorised testbed data were available. Accordingly, achievements below distinguish completed research-design outcomes from measurements that require subsequent execution.</w:t>
      </w:r>
    </w:p>
    <w:p>
      <w:r>
        <w:rPr>
          <w:i w:val="0"/>
        </w:rPr>
        <w:t>1. Objective 1 is achieved. The baseline analysis documents Wlazlo et al.’s DNP3 testbed, replay, false-data injection and false-command injection scenarios, Snort and network-monitoring signals, and the ambiguity of timing-based alerts.</w:t>
      </w:r>
    </w:p>
    <w:p>
      <w:r>
        <w:rPr>
          <w:i w:val="0"/>
        </w:rPr>
        <w:t>2. Objective 2 is achieved. Candidate network features and physical measurements are identified and operationalised, including timing, retransmissions, protocol events, voltage, frequency, power flow, breaker state, and state-estimation residuals, subject to testbed availability.</w:t>
      </w:r>
    </w:p>
    <w:p>
      <w:r>
        <w:rPr>
          <w:i w:val="0"/>
        </w:rPr>
        <w:t>3. Objective 3 is achieved at the framework-design level. Figure 1 specifies aligned network and physical evidence, confidence-aware adaptive detection, drift handling, and safety-gated response. Its detection performance remains to be tested.</w:t>
      </w:r>
    </w:p>
    <w:p>
      <w:r>
        <w:rPr>
          <w:i w:val="0"/>
        </w:rPr>
        <w:t>4. Objective 4 is achieved as a comparative experimental design. The rule-based, network-only, and adaptive cross-layer detectors are assigned a shared scenario matrix and leakage-resistant evaluation plan. Comparative empirical results remain pending.</w:t>
      </w:r>
    </w:p>
    <w:p>
      <w:r>
        <w:rPr>
          <w:i w:val="0"/>
        </w:rPr>
        <w:t>5. Objective 5 is achieved as an evaluation protocol. Detection metrics, generalisation tests, compute measures, mitigation outcomes, and operational constraints are defined. Numerical evaluation and statistical conclusions require the planned experiment.</w:t>
      </w:r>
    </w:p>
    <w:p>
      <w:pPr>
        <w:pStyle w:val="Heading2"/>
      </w:pPr>
      <w:r>
        <w:t>5.4 Answers to the Research Questions</w:t>
      </w:r>
    </w:p>
    <w:p>
      <w:r>
        <w:rPr>
          <w:i w:val="0"/>
        </w:rPr>
        <w:t>1. Research Question 1: Wlazlo et al. (2021) used an emulation-based cyber-physical testbed, a synthetic grid, DNP3, and replay, false-data injection, and false-command injection scenarios. Their detection approach combined Snort intrusion-detection system (IDS) alerts with network monitoring, including delay and retransmission behaviour. A key limitation motivating this study is that added latency can resemble ordinary industrial communication variation; the present work also identifies the need to test generalisation and mitigation outcomes separately.</w:t>
      </w:r>
    </w:p>
    <w:p>
      <w:r>
        <w:rPr>
          <w:i w:val="0"/>
        </w:rPr>
        <w:t>2. Research Question 2: The evidence supports cross-layer fusion as a plausible way to add process context to network-only evidence, but it does not establish that fusion improves F1-score in this study. The answer is therefore theoretically promising but empirically undetermined until paired predictions are evaluated on the same held-out cases.</w:t>
      </w:r>
    </w:p>
    <w:p>
      <w:r>
        <w:rPr>
          <w:i w:val="0"/>
        </w:rPr>
        <w:t>3. Research Question 3: The research specifies a grouped held-out evaluation by attack configuration, operating condition, or topology, but no test outputs are available. Generalisation performance and the size of any decline cannot yet be reported.</w:t>
      </w:r>
    </w:p>
    <w:p>
      <w:r>
        <w:rPr>
          <w:i w:val="0"/>
        </w:rPr>
        <w:t>4. Research Question 4: Correlating network alerts with physical-state consistency may help distinguish malicious manipulation from benign delay or disturbance. Whether this lowers false alarms at preserved recall is untested and requires paired predictions with benign delays, packet loss, and physical disturbances represented in the test set.</w:t>
      </w:r>
    </w:p>
    <w:p>
      <w:r>
        <w:rPr>
          <w:i w:val="0"/>
        </w:rPr>
        <w:t>5. Research Question 5: A predefined response policy with validated actions can be tested for reduced attack impact while tracking recovery time and legitimate-control disruption. This research specifies that comparison but cannot claim measured reduction or safety until mitigation-enabled runs are completed.</w:t>
      </w:r>
    </w:p>
    <w:p>
      <w:pPr>
        <w:pStyle w:val="Heading2"/>
      </w:pPr>
      <w:r>
        <w:t>5.5 Final Synthesis</w:t>
      </w:r>
    </w:p>
    <w:p>
      <w:r>
        <w:rPr>
          <w:i w:val="0"/>
        </w:rPr>
        <w:t>The stated aim is to design and evaluate an adaptive cyber-physical detection and mitigation framework for stealthy MiTM attacks in power-system communication and control environments, using Wlazlo et al. (2021) as the baseline and adapting the experimental context to Nigeria. The design and Nigeria-focused adaptation are completed in this work: the baseline’s DNP3 attack cases and monitoring signals are retained; Nigerian SCADA integration and normal operating variation shape the scenario design; and the framework joins network evidence, physical evidence, adaptive confidence scoring, and safety-gated response. The evaluation methodology is fully specified through shared detector baselines, grouped held-out testing, operational variables, detection metrics, and paired mitigation outcomes. The empirical evaluation part of the aim remains pending access to paired detector predictions or an authorised testbed. The work therefore achieves the research-design aim and all five objectives at the stated design-and-evidence level, while reporting the uncompleted measurement stage transparently.</w:t>
      </w:r>
    </w:p>
    <w:p>
      <w:r>
        <w:br w:type="page"/>
      </w:r>
    </w:p>
    <w:p>
      <w:pPr>
        <w:pStyle w:val="Heading1"/>
      </w:pPr>
      <w:r>
        <w:t>References</w:t>
      </w:r>
    </w:p>
    <w:p>
      <w:pPr>
        <w:spacing w:line="480" w:lineRule="auto" w:after="0"/>
        <w:ind w:left="720" w:hanging="720"/>
      </w:pPr>
      <w:r>
        <w:t xml:space="preserve">Cui, L., Qu, Y., Gao, L., Xie, G., &amp; Yu, S. (2020). Detecting false data attacks using machine learning techniques in smart grid: A survey. </w:t>
      </w:r>
      <w:r>
        <w:rPr>
          <w:i/>
        </w:rPr>
        <w:t>Journal of Network and Computer Applications, 170</w:t>
      </w:r>
      <w:r>
        <w:t>, Article 102808. https://doi.org/10.1016/j.jnca.2020.102808</w:t>
      </w:r>
    </w:p>
    <w:p>
      <w:pPr>
        <w:spacing w:line="480" w:lineRule="auto" w:after="0"/>
        <w:ind w:left="720" w:hanging="720"/>
      </w:pPr>
      <w:r>
        <w:t xml:space="preserve">Liu, Y., Ning, P., &amp; Reiter, M. K. (2011). False data injection attacks against state estimation in electric power grids. </w:t>
      </w:r>
      <w:r>
        <w:rPr>
          <w:i/>
        </w:rPr>
        <w:t>ACM Transactions on Information and System Security, 14</w:t>
      </w:r>
      <w:r>
        <w:t>(1), Article 13. https://doi.org/10.1145/1952982.1952995</w:t>
      </w:r>
    </w:p>
    <w:p>
      <w:pPr>
        <w:spacing w:line="480" w:lineRule="auto" w:after="0"/>
        <w:ind w:left="720" w:hanging="720"/>
      </w:pPr>
      <w:r>
        <w:t xml:space="preserve">Nigerian Electricity Regulatory Commission. (2025). </w:t>
      </w:r>
      <w:r>
        <w:rPr>
          <w:i/>
        </w:rPr>
        <w:t>NERC annual report 2024.</w:t>
      </w:r>
      <w:r>
        <w:t xml:space="preserve"> https://nerc.gov.ng/resources/nerc-annual-report-2024/</w:t>
      </w:r>
    </w:p>
    <w:p>
      <w:pPr>
        <w:spacing w:line="480" w:lineRule="auto" w:after="0"/>
        <w:ind w:left="720" w:hanging="720"/>
      </w:pPr>
      <w:r>
        <w:t>Nigerian Electricity Regulatory Commission. (2024, December 12). Stakeholders discuss integrating power plants in SCADA deployment. https://nerc.gov.ng/media/stakeholders-discuss-integrating-power-plants-in-scada-deployment/</w:t>
      </w:r>
    </w:p>
    <w:p>
      <w:pPr>
        <w:spacing w:line="480" w:lineRule="auto" w:after="0"/>
        <w:ind w:left="720" w:hanging="720"/>
      </w:pPr>
      <w:r/>
      <w:r>
        <w:rPr>
          <w:i/>
        </w:rPr>
        <w:t>SmartGrid-CyberPhysical-Attack-Dataset</w:t>
      </w:r>
      <w:r>
        <w:t>. (2025). [Data set]. Institute of Electrical and Electronics Engineers (IEEE) DataPort. https://doi.org/10.21227/symr-bz19</w:t>
      </w:r>
    </w:p>
    <w:p>
      <w:pPr>
        <w:spacing w:line="480" w:lineRule="auto" w:after="0"/>
        <w:ind w:left="720" w:hanging="720"/>
      </w:pPr>
      <w:r>
        <w:t xml:space="preserve">Nigeria Computer Emergency Response Team. (2021). </w:t>
      </w:r>
      <w:r>
        <w:rPr>
          <w:i/>
        </w:rPr>
        <w:t>National cybersecurity policy and strategy 2021.</w:t>
      </w:r>
      <w:r>
        <w:t xml:space="preserve"> https://cert.gov.ng/ngcert/resources/NATIONAL_CYBERSECURITY_POLICY_AND_STRATEGY_2021.pdf</w:t>
      </w:r>
    </w:p>
    <w:p>
      <w:pPr>
        <w:spacing w:line="480" w:lineRule="auto" w:after="0"/>
        <w:ind w:left="720" w:hanging="720"/>
      </w:pPr>
      <w:r>
        <w:t xml:space="preserve">Ogundari, I. O., Otuyemi, F. A., Momodu, A. S., &amp; Salu, B. O. (2021). Cyber security assessment of Nigeria’s electric power infrastructure. </w:t>
      </w:r>
      <w:r>
        <w:rPr>
          <w:i/>
        </w:rPr>
        <w:t>African Journal of Science Policy and Innovation Management, 1</w:t>
      </w:r>
      <w:r>
        <w:t>(2), 87–104. https://ajspim.oauife.edu.ng/index.php/ajspim/article/view/79</w:t>
      </w:r>
    </w:p>
    <w:p>
      <w:pPr>
        <w:spacing w:line="480" w:lineRule="auto" w:after="0"/>
        <w:ind w:left="720" w:hanging="720"/>
      </w:pPr>
      <w:r>
        <w:t xml:space="preserve">Stouffer, K., Pease, M., Tang, C. Y., Zimmerman, T., Pillitteri, V., Lightman, S., Hahn, A., Saravia, S., Sherule, A., &amp; Thompson, M. (2023). </w:t>
      </w:r>
      <w:r>
        <w:rPr>
          <w:i/>
        </w:rPr>
        <w:t>Guide to operational technology (OT) security</w:t>
      </w:r>
      <w:r>
        <w:t xml:space="preserve"> (Special Publication 800-82 Rev. 3). National Institute of Standards and Technology. https://doi.org/10.6028/NIST.SP.800-82r3</w:t>
      </w:r>
    </w:p>
    <w:p>
      <w:pPr>
        <w:spacing w:line="480" w:lineRule="auto" w:after="0"/>
        <w:ind w:left="720" w:hanging="720"/>
      </w:pPr>
      <w:r>
        <w:t xml:space="preserve">Wlazlo, P., Sahu, A., Mao, Z., Huang, H., Goulart, A., Davis, K., &amp; Zonouz, S. (2021). Man-in-the-middle attacks and defence in a power system cyber-physical testbed. </w:t>
      </w:r>
      <w:r>
        <w:rPr>
          <w:i/>
        </w:rPr>
        <w:t>IET Cyber-Physical Systems: Theory &amp; Applications, 6</w:t>
      </w:r>
      <w:r>
        <w:t>(3), 164–177. https://doi.org/10.1049/cps2.12014</w:t>
      </w:r>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18364E"/>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18364E"/>
      <w:sz w:val="28"/>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color w:val="18364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8364E"/>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480" w:lineRule="auto" w:before="0" w:after="0"/>
    </w:pPr>
    <w:rPr>
      <w:rFonts w:ascii="Times New Roman" w:hAnsi="Times New Roman" w:eastAsia="Times New Roman"/>
      <w:sz w:val="24"/>
    </w:rPr>
  </w:style>
  <w:style w:type="paragraph" w:customStyle="1" w:styleId="TOC2">
    <w:name w:val="TOC 2"/>
    <w:pPr>
      <w:spacing w:line="480" w:lineRule="auto" w:before="0" w:after="0"/>
    </w:pPr>
    <w:rPr>
      <w:rFonts w:ascii="Times New Roman" w:hAnsi="Times New Roman" w:eastAsia="Times New Roman"/>
      <w:sz w:val="24"/>
    </w:rPr>
  </w:style>
  <w:style w:type="paragraph" w:customStyle="1" w:styleId="TOC3">
    <w:name w:val="TOC 3"/>
    <w:pPr>
      <w:spacing w:line="480" w:lineRule="auto" w:before="0" w:after="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Adaptive Cyber-Physical Detection and Mitigation Framework for Stealthy Man-in-the-Middle Attacks in Power Systems</dc:title>
  <dc:subject>Nigeria-focused research work, methodology, framework, and evidence synthesis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