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(CTF format)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tlp_send(buf)</w:t>
            </w:r>
            <w:r>
              <w:t xml:space="preserve">,</w:t>
            </w:r>
            <w:r>
              <w:t xml:space="preserve"> </w:t>
            </w:r>
            <w:r>
              <w:rPr>
                <w:rStyle w:val="VerbatimChar"/>
              </w:rPr>
              <w:t xml:space="preserve">trace(...)</w:t>
            </w:r>
            <w:r>
              <w:t xml:space="preserve">,</w:t>
            </w:r>
            <w:r>
              <w:t xml:space="preserve"> </w:t>
            </w:r>
            <w:r>
              <w:rPr>
                <w:rStyle w:val="VerbatimChar"/>
              </w:rPr>
              <w:t xml:space="preserve">console_read([n])</w:t>
            </w:r>
          </w:p>
        </w:tc>
        <w:tc>
          <w:tcPr/>
          <w:p>
            <w:pPr>
              <w:pStyle w:val="Compact"/>
              <w:jc w:val="left"/>
            </w:pPr>
            <w:r>
              <w:t xml:space="preserve">Send a 64-byte packet, a trace event,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Switching it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more than 512 bytes can arrive between</w:t>
      </w:r>
      <w:r>
        <w:t xml:space="preserve"> </w:t>
      </w:r>
      <w:r>
        <w:t xml:space="preserve">two reads, so read in a loop until a read returns less than 512.</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2.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3.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w:t>
      </w:r>
      <w:r>
        <w:rPr>
          <w:rStyle w:val="CommentTok"/>
        </w:rPr>
        <w:t xml:space="preserve"># Update attitude &amp; navigation solution</w:t>
      </w:r>
      <w:r>
        <w:br/>
      </w:r>
      <w:r>
        <w:rPr>
          <w:rStyle w:val="NormalTok"/>
        </w:rPr>
        <w:t xml:space="preserve">        </w:t>
      </w:r>
      <w:r>
        <w:rPr>
          <w:rStyle w:val="CommentTok"/>
        </w:rPr>
        <w:t xml:space="preserve"># (Zero blocking, zero heap churn, zero GC pauses)</w:t>
      </w:r>
      <w:r>
        <w:br/>
      </w:r>
      <w:r>
        <w:br/>
      </w:r>
      <w:r>
        <w:rPr>
          <w:rStyle w:val="CommentTok"/>
        </w:rPr>
        <w:t xml:space="preserve"># 4.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8089d5b57f000bc6fd1a3883b20ab9c88bd8233"/>
    <w:p>
      <w:pPr>
        <w:pStyle w:val="Heading4"/>
      </w:pPr>
      <w:r>
        <w:t xml:space="preserve">1. Dynamic JSON Telemetry Schemas (</w:t>
      </w:r>
      <w:r>
        <w:rPr>
          <w:rStyle w:val="VerbatimChar"/>
        </w:rPr>
        <w:t xml:space="preserve">trace_schema.json</w:t>
      </w:r>
      <w:r>
        <w:t xml:space="preserve">)</w:t>
      </w:r>
    </w:p>
    <w:p>
      <w:pPr>
        <w:pStyle w:val="FirstParagraph"/>
      </w:pPr>
      <w:r>
        <w:t xml:space="preserve">All telemetry packet formats, sensor channels, and engineering units are declared in external JSON schemas rather than hardcoded in source files: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connects to a telemetry stream:</w:t>
      </w:r>
      <w:r>
        <w:t xml:space="preserve"> </w:t>
      </w:r>
      <w:r>
        <w:t xml:space="preserve">1.</w:t>
      </w:r>
      <w:r>
        <w:t xml:space="preserve"> </w:t>
      </w:r>
      <w:r>
        <w:rPr>
          <w:b/>
          <w:bCs/>
        </w:rPr>
        <w:t xml:space="preserve">Dynamic Unpack Compilation</w:t>
      </w:r>
      <w:r>
        <w:t xml:space="preserve">: Studio’s</w:t>
      </w:r>
      <w:r>
        <w:t xml:space="preserve"> </w:t>
      </w:r>
      <w:r>
        <w:rPr>
          <w:rStyle w:val="VerbatimChar"/>
        </w:rPr>
        <w:t xml:space="preserve">CtfSchemaLoader</w:t>
      </w:r>
      <w:r>
        <w:t xml:space="preserve"> </w:t>
      </w:r>
      <w:r>
        <w:t xml:space="preserve">ingests the JSON schema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b2e05fa39620e58ec0c0d4661b980e02b4df473"/>
    <w:p>
      <w:pPr>
        <w:pStyle w:val="Heading4"/>
      </w:pPr>
      <w:r>
        <w:t xml:space="preserve">3. The Extensible Python Plugin SDK (</w:t>
      </w:r>
      <w:r>
        <w:rPr>
          <w:rStyle w:val="VerbatimChar"/>
        </w:rPr>
        <w:t xml:space="preserve">AbstractXStudioPlugin</w:t>
      </w:r>
      <w:r>
        <w:t xml:space="preserve">)</w:t>
      </w:r>
    </w:p>
    <w:p>
      <w:pPr>
        <w:pStyle w:val="FirstParagraph"/>
      </w:pPr>
      <w:r>
        <w:t xml:space="preserve">Studio is built on an extensible core-and-plugin architecture (</w:t>
      </w:r>
      <w:hyperlink r:id="rId79">
        <w:r>
          <w:rPr>
            <w:rStyle w:val="VerbatimChar"/>
          </w:rPr>
          <w:t xml:space="preserve">tools/visualizer/sdk/plugin.py</w:t>
        </w:r>
      </w:hyperlink>
      <w:r>
        <w:t xml:space="preserve">). Developers can create custom visualizers, instrumentation panels, or automated test consoles in pure Python using Dear ImGui (</w:t>
      </w:r>
      <w:r>
        <w:rPr>
          <w:rStyle w:val="VerbatimChar"/>
        </w:rPr>
        <w:t xml:space="preserve">imgui-bundle</w:t>
      </w:r>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on_init(</w:t>
      </w:r>
      <w:r>
        <w:rPr>
          <w:rStyle w:val="VariableTok"/>
        </w:rPr>
        <w:t xml:space="preserve">self</w:t>
      </w:r>
      <w:r>
        <w:rPr>
          <w:rStyle w:val="NormalTok"/>
        </w:rPr>
        <w:t xml:space="preserve">, context):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workbench</w:t>
      </w:r>
      <w:r>
        <w:br/>
      </w:r>
      <w:r>
        <w:rPr>
          <w:rStyle w:val="NormalTok"/>
        </w:rPr>
        <w:t xml:space="preserve">        imgui.text(</w:t>
      </w:r>
      <w:r>
        <w:rPr>
          <w:rStyle w:val="SpecialStringTok"/>
        </w:rPr>
        <w:t xml:space="preserve">f"Live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Plugins integrate seamlessly into Studio’s multi-window docking layout. They inherit native OS window pop-outs (moving the plugin to a second monitor), dark-mode styling, and zero-copy packet ingestion without having to manage windowing loops, OpenGL contexts, or threading primitives.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94">
        <w:r>
          <w:rPr>
            <w:rStyle w:val="Hyperlink"/>
          </w:rPr>
          <w:t xml:space="preserve">engineering log</w:t>
        </w:r>
      </w:hyperlink>
      <w:r>
        <w:t xml:space="preserve"> </w:t>
      </w:r>
      <w:r>
        <w:t xml:space="preserve">(2026-10-22).</w:t>
      </w:r>
    </w:p>
    <w:bookmarkEnd w:id="95"/>
    <w:bookmarkStart w:id="96"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active on E906 (16×64-byte circular DMA ring in SRAM with timeout triggers, toggleable via</w:t>
      </w:r>
      <w:r>
        <w:t xml:space="preserve"> </w:t>
      </w:r>
      <w:r>
        <w:rPr>
          <w:rStyle w:val="VerbatimChar"/>
        </w:rPr>
        <w:t xml:space="preserve">abstractx.uart_dma()</w:t>
      </w:r>
      <w:r>
        <w:t xml:space="preserve">); SPI DMA remains to be connected.</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6"/>
    <w:bookmarkStart w:id="102"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7">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8">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9">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100">
        <w:r>
          <w:rPr>
            <w:rStyle w:val="Hyperlink"/>
          </w:rPr>
          <w:t xml:space="preserve">E906 app specification</w:t>
        </w:r>
      </w:hyperlink>
      <w:r>
        <w:t xml:space="preserve"> </w:t>
      </w:r>
      <w:r>
        <w:t xml:space="preserve">and the</w:t>
      </w:r>
      <w:r>
        <w:t xml:space="preserve"> </w:t>
      </w:r>
      <w:hyperlink r:id="rId101">
        <w:r>
          <w:rPr>
            <w:rStyle w:val="Hyperlink"/>
          </w:rPr>
          <w:t xml:space="preserve">E906 target specification</w:t>
        </w:r>
      </w:hyperlink>
      <w:r>
        <w:t xml:space="preserve"> </w:t>
      </w:r>
      <w:r>
        <w:t xml:space="preserve">define everything this article describes, and say how each part is tested.</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2026-10-24T14:19:02Z</dcterms:created>
  <dcterms:modified xsi:type="dcterms:W3CDTF">2026-10-24T14:19:02Z</dcterms:modified>
</cp:coreProperties>
</file>

<file path=docProps/custom.xml><?xml version="1.0" encoding="utf-8"?>
<Properties xmlns="http://schemas.openxmlformats.org/officeDocument/2006/custom-properties" xmlns:vt="http://schemas.openxmlformats.org/officeDocument/2006/docPropsVTypes"/>
</file>