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ESP32 - TFT LCD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310"/>
        <w:gridCol w:w="1745"/>
        <w:gridCol w:w="5495"/>
        <w:tblGridChange w:id="0">
          <w:tblGrid>
            <w:gridCol w:w="1025"/>
            <w:gridCol w:w="1310"/>
            <w:gridCol w:w="1745"/>
            <w:gridCol w:w="54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TFT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ESP32-S3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5V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GPIO14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Chip 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GPIO13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GPIO12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Data/Command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MOSI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GPIO11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SPI MOSI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GPIO10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SPI Clock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3.3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Backlight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MISO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GPIO9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SPI MISO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9o4frtvkh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Keypad 4×3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C3 → GPIO5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C2 → GPIO6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C1 → GPIO7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R4 → GPIO15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R3 → GPIO16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R2 → GPIO17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 → GPIO18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Ultrasonic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VCC → 3.3 V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GND → GND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 → GPIO 3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→ GPIO 46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Buzzer</w:t>
      </w:r>
    </w:p>
    <w:p w:rsidR="00000000" w:rsidDel="00000000" w:rsidP="00000000" w:rsidRDefault="00000000" w:rsidRPr="00000000" w14:paraId="0000004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BUZZER “+” → 3V3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BUZZER “–” → NPN collector (e.g., 2N2222, S8050, BC547)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NPN emitter → GND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ESP32 GPIO4 → 10 kΩ → NPN base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100 kΩ from base to GND (optional pull-down)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1 kΩ resistor in parallel with the buzzer</w:t>
      </w:r>
      <w:r w:rsidDel="00000000" w:rsidR="00000000" w:rsidRPr="00000000">
        <w:rPr>
          <w:rtl w:val="0"/>
        </w:rPr>
        <w:t xml:space="preserve"> (“+” to “–”) as the sheet suggests for charging/discharging the piezo.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Common GND between ESP32 and the transistor side.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Temp &amp; Humid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860"/>
        <w:gridCol w:w="5775"/>
        <w:tblGridChange w:id="0">
          <w:tblGrid>
            <w:gridCol w:w="1650"/>
            <w:gridCol w:w="1860"/>
            <w:gridCol w:w="5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BME280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ESP32-3Pin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Ground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GPIO42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I²C Clock (SCL)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GPIO41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I²C Data (SDA)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Accelerometer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1260"/>
        <w:gridCol w:w="1525.0000000000002"/>
        <w:gridCol w:w="4595"/>
        <w:tblGridChange w:id="0">
          <w:tblGrid>
            <w:gridCol w:w="1965"/>
            <w:gridCol w:w="1260"/>
            <w:gridCol w:w="1525.0000000000002"/>
            <w:gridCol w:w="45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MPU6050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ESP32-S3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000000000002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GPIO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GPIO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