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538135"/>
          <w:sz w:val="18"/>
          <w:szCs w:val="18"/>
        </w:rPr>
        <w:t xml:space="preserve">FUTURE OPPORTUNITY</w:t>
      </w:r>
    </w:p>
    <w:p>
      <w:pPr>
        <w:spacing w:after="80" w:before="0"/>
      </w:pPr>
      <w:r>
        <w:rPr>
          <w:rFonts w:ascii="Arial" w:cs="Arial" w:eastAsia="Arial" w:hAnsi="Arial"/>
          <w:b/>
          <w:bCs/>
          <w:color w:val="375623"/>
          <w:sz w:val="40"/>
          <w:szCs w:val="40"/>
        </w:rPr>
        <w:t xml:space="preserve">GEO Strategy for AI Search Visibility</w:t>
      </w:r>
    </w:p>
    <w:p>
      <w:pPr>
        <w:spacing w:after="40" w:before="0"/>
      </w:pPr>
      <w:r>
        <w:rPr>
          <w:rFonts w:ascii="Arial" w:cs="Arial" w:eastAsia="Arial" w:hAnsi="Arial"/>
          <w:i/>
          <w:iCs/>
          <w:color w:val="538135"/>
          <w:sz w:val="22"/>
          <w:szCs w:val="22"/>
        </w:rPr>
        <w:t xml:space="preserve">Generative Engine Optimization (GEO) / Large Language Model Optimization (LLMO)</w:t>
      </w:r>
    </w:p>
    <w:p>
      <w:pPr>
        <w:spacing w:after="40" w:before="0"/>
      </w:pPr>
      <w:r>
        <w:rPr>
          <w:rFonts w:ascii="Arial" w:cs="Arial" w:eastAsia="Arial" w:hAnsi="Arial"/>
          <w:color w:val="595959"/>
          <w:sz w:val="26"/>
          <w:szCs w:val="26"/>
        </w:rPr>
        <w:t xml:space="preserve">myNHD, Inc.</w:t>
      </w:r>
    </w:p>
    <w:p>
      <w:pPr>
        <w:spacing w:after="40" w:before="0"/>
      </w:pPr>
      <w:r>
        <w:rPr>
          <w:rFonts w:ascii="Arial" w:cs="Arial" w:eastAsia="Arial" w:hAnsi="Arial"/>
          <w:i/>
          <w:iCs/>
          <w:color w:val="595959"/>
          <w:sz w:val="20"/>
          <w:szCs w:val="20"/>
        </w:rPr>
        <w:t xml:space="preserve">Prepared by Thomas Cocotis  |  tcp@cocotis.com  |  May 2026</w:t>
      </w:r>
    </w:p>
    <w:p>
      <w:pPr>
        <w:pBdr>
          <w:bottom w:val="single" w:color="538135" w:sz="4" w:space="1"/>
        </w:pBdr>
        <w:spacing w:after="160" w:before="160"/>
      </w:pPr>
      <w:r>
        <w:t xml:space="preserve"/>
      </w:r>
    </w:p>
    <w:p>
      <w:pPr>
        <w:pStyle w:val="Heading1"/>
        <w:spacing w:after="120" w:before="320"/>
      </w:pPr>
      <w:r>
        <w:rPr>
          <w:rFonts w:ascii="Arial" w:cs="Arial" w:eastAsia="Arial" w:hAnsi="Arial"/>
          <w:b/>
          <w:bCs/>
          <w:color w:val="375623"/>
          <w:sz w:val="28"/>
          <w:szCs w:val="28"/>
        </w:rPr>
        <w:t xml:space="preserve">The Opportunity</w:t>
      </w:r>
    </w:p>
    <w:p>
      <w:pPr>
        <w:spacing w:after="80" w:before="80"/>
      </w:pPr>
      <w:r>
        <w:rPr>
          <w:rFonts w:ascii="Arial" w:cs="Arial" w:eastAsia="Arial" w:hAnsi="Arial"/>
          <w:color w:val="595959"/>
          <w:sz w:val="22"/>
          <w:szCs w:val="22"/>
        </w:rPr>
        <w:t xml:space="preserve">Search behavior is changing. A growing number of real estate professionals now turn to AI tools — ChatGPT, Claude, Perplexity, Google AI — to get recommendations before visiting a website or making a call. When a California real estate agent asks an AI tool "what do I need for a natural hazard disclosure report?" or "who provides NHD reports in California?", the answer they receive is the only answer that matters. There is no page 2.</w:t>
      </w:r>
    </w:p>
    <w:p>
      <w:pPr>
        <w:spacing w:after="80" w:before="80"/>
      </w:pPr>
      <w:r>
        <w:rPr>
          <w:rFonts w:ascii="Arial" w:cs="Arial" w:eastAsia="Arial" w:hAnsi="Arial"/>
          <w:color w:val="595959"/>
          <w:sz w:val="22"/>
          <w:szCs w:val="22"/>
        </w:rPr>
        <w:t xml:space="preserve">This shift has a name: Generative Engine Optimization (GEO), also called Large Language Model Optimization (LLMO). Unlike traditional SEO, where you compete for a position on a results page, GEO is about how often your brand appears in AI-generated responses — your mention rate across many different prompts, across many different AI tools.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val="false"/>
                <w:bCs w:val="false"/>
                <w:i/>
                <w:iCs/>
                <w:color w:val="7F6000"/>
                <w:sz w:val="22"/>
                <w:szCs w:val="22"/>
              </w:rPr>
              <w:t xml:space="preserve">The window is open right now. No NHD provider in California appears to be doing this. The company that builds an authoritative content presence first will be the one AI tools recommend.</w:t>
            </w:r>
          </w:p>
        </w:tc>
      </w:tr>
    </w:tbl>
    <w:p>
      <w:pPr>
        <w:spacing w:after="120" w:before="0"/>
      </w:pPr>
      <w:r>
        <w:t xml:space="preserve"/>
      </w:r>
    </w:p>
    <w:p>
      <w:pPr>
        <w:pStyle w:val="Heading1"/>
        <w:spacing w:after="120" w:before="320"/>
      </w:pPr>
      <w:r>
        <w:rPr>
          <w:rFonts w:ascii="Arial" w:cs="Arial" w:eastAsia="Arial" w:hAnsi="Arial"/>
          <w:b/>
          <w:bCs/>
          <w:color w:val="375623"/>
          <w:sz w:val="28"/>
          <w:szCs w:val="28"/>
        </w:rPr>
        <w:t xml:space="preserve">Where myNHD Stands Today</w:t>
      </w:r>
    </w:p>
    <w:p>
      <w:pPr>
        <w:spacing w:after="80" w:before="80"/>
      </w:pPr>
      <w:r>
        <w:rPr>
          <w:rFonts w:ascii="Arial" w:cs="Arial" w:eastAsia="Arial" w:hAnsi="Arial"/>
          <w:color w:val="595959"/>
          <w:sz w:val="22"/>
          <w:szCs w:val="22"/>
        </w:rPr>
        <w:t xml:space="preserve">A review of myNHD.com reveals a well-established transaction platform — but almost no content that AI tools can 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Strengths to build on</w:t>
            </w:r>
          </w:p>
        </w:tc>
        <w:tc>
          <w:tcPr>
            <w:tcW w:type="dxa" w:w="468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Gaps to close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 years of domain authority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 educational or informational content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Industry-leader positioning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FAQ limited to 6 transactional questions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Safe Harbor and E&amp;O insurance differentiator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 blog, no county-specific pages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Integrated with Dotloop and ZipLogix</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 visible third-party reviews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FortressFire branded wildfire product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 crawlers may be blocked (robots.txt unverified)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Social channels on major platforms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 llms.txt file to guide AI systems</w:t>
            </w:r>
          </w:p>
        </w:tc>
      </w:tr>
    </w:tbl>
    <w:p>
      <w:pPr>
        <w:spacing w:after="120" w:before="0"/>
      </w:pPr>
      <w:r>
        <w:t xml:space="preserve"/>
      </w:r>
    </w:p>
    <w:p>
      <w:pPr>
        <w:spacing w:after="80" w:before="80"/>
      </w:pPr>
      <w:r>
        <w:rPr>
          <w:rFonts w:ascii="Arial" w:cs="Arial" w:eastAsia="Arial" w:hAnsi="Arial"/>
          <w:color w:val="595959"/>
          <w:sz w:val="22"/>
          <w:szCs w:val="22"/>
        </w:rPr>
        <w:t xml:space="preserve">The fix is achievable. myNHD knows this material cold after 20 years in the industry — the work is creating the content layer that AI tools need to find, understand, and cite myNHD's expertise.</w:t>
      </w:r>
    </w:p>
    <w:p>
      <w:pPr>
        <w:spacing w:after="120" w:before="0"/>
      </w:pPr>
      <w:r>
        <w:t xml:space="preserve"/>
      </w:r>
    </w:p>
    <w:p>
      <w:pPr>
        <w:pStyle w:val="Heading1"/>
        <w:spacing w:after="120" w:before="320"/>
      </w:pPr>
      <w:r>
        <w:rPr>
          <w:rFonts w:ascii="Arial" w:cs="Arial" w:eastAsia="Arial" w:hAnsi="Arial"/>
          <w:b/>
          <w:bCs/>
          <w:color w:val="375623"/>
          <w:sz w:val="28"/>
          <w:szCs w:val="28"/>
        </w:rPr>
        <w:t xml:space="preserve">What Real Estate Agents Are Already Asking AI Tools</w:t>
      </w:r>
    </w:p>
    <w:p>
      <w:pPr>
        <w:spacing w:after="80" w:before="80"/>
      </w:pPr>
      <w:r>
        <w:rPr>
          <w:rFonts w:ascii="Arial" w:cs="Arial" w:eastAsia="Arial" w:hAnsi="Arial"/>
          <w:color w:val="595959"/>
          <w:sz w:val="22"/>
          <w:szCs w:val="22"/>
        </w:rPr>
        <w:t xml:space="preserve">These are the questions agents and brokers are asking right now. myNHD should own the answers.</w:t>
      </w:r>
    </w:p>
    <w:p>
      <w:pPr>
        <w:pStyle w:val="ListParagraph"/>
        <w:numPr>
          <w:ilvl w:val="0"/>
          <w:numId w:val="2"/>
        </w:numPr>
        <w:spacing w:after="40" w:before="40"/>
      </w:pPr>
      <w:r>
        <w:rPr>
          <w:rFonts w:ascii="Arial" w:cs="Arial" w:eastAsia="Arial" w:hAnsi="Arial"/>
          <w:color w:val="595959"/>
          <w:sz w:val="22"/>
          <w:szCs w:val="22"/>
        </w:rPr>
        <w:t xml:space="preserve">"What is a California NHD report and do I need one?"</w:t>
      </w:r>
    </w:p>
    <w:p>
      <w:pPr>
        <w:pStyle w:val="ListParagraph"/>
        <w:numPr>
          <w:ilvl w:val="0"/>
          <w:numId w:val="2"/>
        </w:numPr>
        <w:spacing w:after="40" w:before="40"/>
      </w:pPr>
      <w:r>
        <w:rPr>
          <w:rFonts w:ascii="Arial" w:cs="Arial" w:eastAsia="Arial" w:hAnsi="Arial"/>
          <w:color w:val="595959"/>
          <w:sz w:val="22"/>
          <w:szCs w:val="22"/>
        </w:rPr>
        <w:t xml:space="preserve">"Is an NHD report required for commercial real estate transactions in California?"</w:t>
      </w:r>
    </w:p>
    <w:p>
      <w:pPr>
        <w:pStyle w:val="ListParagraph"/>
        <w:numPr>
          <w:ilvl w:val="0"/>
          <w:numId w:val="2"/>
        </w:numPr>
        <w:spacing w:after="40" w:before="40"/>
      </w:pPr>
      <w:r>
        <w:rPr>
          <w:rFonts w:ascii="Arial" w:cs="Arial" w:eastAsia="Arial" w:hAnsi="Arial"/>
          <w:color w:val="595959"/>
          <w:sz w:val="22"/>
          <w:szCs w:val="22"/>
        </w:rPr>
        <w:t xml:space="preserve">"What are the six hazard zones covered in a California natural hazard disclosure?"</w:t>
      </w:r>
    </w:p>
    <w:p>
      <w:pPr>
        <w:pStyle w:val="ListParagraph"/>
        <w:numPr>
          <w:ilvl w:val="0"/>
          <w:numId w:val="2"/>
        </w:numPr>
        <w:spacing w:after="40" w:before="40"/>
      </w:pPr>
      <w:r>
        <w:rPr>
          <w:rFonts w:ascii="Arial" w:cs="Arial" w:eastAsia="Arial" w:hAnsi="Arial"/>
          <w:color w:val="595959"/>
          <w:sz w:val="22"/>
          <w:szCs w:val="22"/>
        </w:rPr>
        <w:t xml:space="preserve">"What's the difference between a High Fire Hazard Severity Zone and a Wildland Fire Area?"</w:t>
      </w:r>
    </w:p>
    <w:p>
      <w:pPr>
        <w:pStyle w:val="ListParagraph"/>
        <w:numPr>
          <w:ilvl w:val="0"/>
          <w:numId w:val="2"/>
        </w:numPr>
        <w:spacing w:after="40" w:before="40"/>
      </w:pPr>
      <w:r>
        <w:rPr>
          <w:rFonts w:ascii="Arial" w:cs="Arial" w:eastAsia="Arial" w:hAnsi="Arial"/>
          <w:color w:val="595959"/>
          <w:sz w:val="22"/>
          <w:szCs w:val="22"/>
        </w:rPr>
        <w:t xml:space="preserve">"Can a real estate agent be liable for skipping the NHD report?"</w:t>
      </w:r>
    </w:p>
    <w:p>
      <w:pPr>
        <w:pStyle w:val="ListParagraph"/>
        <w:numPr>
          <w:ilvl w:val="0"/>
          <w:numId w:val="2"/>
        </w:numPr>
        <w:spacing w:after="40" w:before="40"/>
      </w:pPr>
      <w:r>
        <w:rPr>
          <w:rFonts w:ascii="Arial" w:cs="Arial" w:eastAsia="Arial" w:hAnsi="Arial"/>
          <w:color w:val="595959"/>
          <w:sz w:val="22"/>
          <w:szCs w:val="22"/>
        </w:rPr>
        <w:t xml:space="preserve">"What changed in California NHD law after AB 1280?"</w:t>
      </w:r>
    </w:p>
    <w:p>
      <w:pPr>
        <w:pStyle w:val="ListParagraph"/>
        <w:numPr>
          <w:ilvl w:val="0"/>
          <w:numId w:val="2"/>
        </w:numPr>
        <w:spacing w:after="40" w:before="40"/>
      </w:pPr>
      <w:r>
        <w:rPr>
          <w:rFonts w:ascii="Arial" w:cs="Arial" w:eastAsia="Arial" w:hAnsi="Arial"/>
          <w:color w:val="595959"/>
          <w:sz w:val="22"/>
          <w:szCs w:val="22"/>
        </w:rPr>
        <w:t xml:space="preserve">"How long does it take to get an NHD report and how much does it cost?"</w:t>
      </w:r>
    </w:p>
    <w:p>
      <w:pPr>
        <w:pStyle w:val="ListParagraph"/>
        <w:numPr>
          <w:ilvl w:val="0"/>
          <w:numId w:val="2"/>
        </w:numPr>
        <w:spacing w:after="40" w:before="40"/>
      </w:pPr>
      <w:r>
        <w:rPr>
          <w:rFonts w:ascii="Arial" w:cs="Arial" w:eastAsia="Arial" w:hAnsi="Arial"/>
          <w:color w:val="595959"/>
          <w:sz w:val="22"/>
          <w:szCs w:val="22"/>
        </w:rPr>
        <w:t xml:space="preserve">"Who are the best NHD providers in California?"</w:t>
      </w:r>
    </w:p>
    <w:p>
      <w:pPr>
        <w:spacing w:after="120" w:before="0"/>
      </w:pPr>
      <w:r>
        <w:t xml:space="preserve"/>
      </w:r>
    </w:p>
    <w:p>
      <w:pPr>
        <w:spacing w:after="80" w:before="80"/>
      </w:pPr>
      <w:r>
        <w:rPr>
          <w:rFonts w:ascii="Arial" w:cs="Arial" w:eastAsia="Arial" w:hAnsi="Arial"/>
          <w:color w:val="595959"/>
          <w:sz w:val="22"/>
          <w:szCs w:val="22"/>
        </w:rPr>
        <w:t xml:space="preserve">Every one of those is a page myNHD should have. None exist today.</w:t>
      </w:r>
    </w:p>
    <w:p>
      <w:pPr>
        <w:spacing w:after="120" w:before="0"/>
      </w:pPr>
      <w:r>
        <w:t xml:space="preserve"/>
      </w:r>
    </w:p>
    <w:p>
      <w:pPr>
        <w:pStyle w:val="Heading1"/>
        <w:spacing w:after="120" w:before="320"/>
      </w:pPr>
      <w:r>
        <w:rPr>
          <w:rFonts w:ascii="Arial" w:cs="Arial" w:eastAsia="Arial" w:hAnsi="Arial"/>
          <w:b/>
          <w:bCs/>
          <w:color w:val="375623"/>
          <w:sz w:val="28"/>
          <w:szCs w:val="28"/>
        </w:rPr>
        <w:t xml:space="preserve">The Three Work Streams</w:t>
      </w:r>
    </w:p>
    <w:p>
      <w:pPr>
        <w:pStyle w:val="Heading2"/>
        <w:spacing w:after="80" w:before="240"/>
      </w:pPr>
      <w:r>
        <w:rPr>
          <w:rFonts w:ascii="Arial" w:cs="Arial" w:eastAsia="Arial" w:hAnsi="Arial"/>
          <w:b/>
          <w:bCs/>
          <w:color w:val="538135"/>
          <w:sz w:val="24"/>
          <w:szCs w:val="24"/>
        </w:rPr>
        <w:t xml:space="preserve">1. Content Strategy and Production</w:t>
      </w:r>
    </w:p>
    <w:p>
      <w:pPr>
        <w:spacing w:after="80" w:before="80"/>
      </w:pPr>
      <w:r>
        <w:rPr>
          <w:rFonts w:ascii="Arial" w:cs="Arial" w:eastAsia="Arial" w:hAnsi="Arial"/>
          <w:color w:val="595959"/>
          <w:sz w:val="22"/>
          <w:szCs w:val="22"/>
        </w:rPr>
        <w:t xml:space="preserve">Build an authoritative content library that gives AI tools something to cite when agents ask questions about California NHD requirements, hazard zones, and disclosure law.</w:t>
      </w:r>
    </w:p>
    <w:p>
      <w:pPr>
        <w:pStyle w:val="ListParagraph"/>
        <w:numPr>
          <w:ilvl w:val="0"/>
          <w:numId w:val="2"/>
        </w:numPr>
        <w:spacing w:after="40" w:before="40"/>
      </w:pPr>
      <w:r>
        <w:rPr>
          <w:rFonts w:ascii="Arial" w:cs="Arial" w:eastAsia="Arial" w:hAnsi="Arial"/>
          <w:color w:val="595959"/>
          <w:sz w:val="22"/>
          <w:szCs w:val="22"/>
        </w:rPr>
        <w:t xml:space="preserve">Audit of the questions real estate agents are asking AI tools about NHD</w:t>
      </w:r>
    </w:p>
    <w:p>
      <w:pPr>
        <w:pStyle w:val="ListParagraph"/>
        <w:numPr>
          <w:ilvl w:val="0"/>
          <w:numId w:val="2"/>
        </w:numPr>
        <w:spacing w:after="40" w:before="40"/>
      </w:pPr>
      <w:r>
        <w:rPr>
          <w:rFonts w:ascii="Arial" w:cs="Arial" w:eastAsia="Arial" w:hAnsi="Arial"/>
          <w:color w:val="595959"/>
          <w:sz w:val="22"/>
          <w:szCs w:val="22"/>
        </w:rPr>
        <w:t xml:space="preserve">Development of a topic cluster map: core pages, supporting pages, FAQ expansions</w:t>
      </w:r>
    </w:p>
    <w:p>
      <w:pPr>
        <w:pStyle w:val="ListParagraph"/>
        <w:numPr>
          <w:ilvl w:val="0"/>
          <w:numId w:val="2"/>
        </w:numPr>
        <w:spacing w:after="40" w:before="40"/>
      </w:pPr>
      <w:r>
        <w:rPr>
          <w:rFonts w:ascii="Arial" w:cs="Arial" w:eastAsia="Arial" w:hAnsi="Arial"/>
          <w:color w:val="595959"/>
          <w:sz w:val="22"/>
          <w:szCs w:val="22"/>
        </w:rPr>
        <w:t xml:space="preserve">Production of educational articles and landing pages covering key NHD topics</w:t>
      </w:r>
    </w:p>
    <w:p>
      <w:pPr>
        <w:pStyle w:val="ListParagraph"/>
        <w:numPr>
          <w:ilvl w:val="0"/>
          <w:numId w:val="2"/>
        </w:numPr>
        <w:spacing w:after="40" w:before="40"/>
      </w:pPr>
      <w:r>
        <w:rPr>
          <w:rFonts w:ascii="Arial" w:cs="Arial" w:eastAsia="Arial" w:hAnsi="Arial"/>
          <w:color w:val="595959"/>
          <w:sz w:val="22"/>
          <w:szCs w:val="22"/>
        </w:rPr>
        <w:t xml:space="preserve">Expansion of the FAQ page to cover substantive agent questions (not just transactional ones)</w:t>
      </w:r>
    </w:p>
    <w:p>
      <w:pPr>
        <w:pStyle w:val="ListParagraph"/>
        <w:numPr>
          <w:ilvl w:val="0"/>
          <w:numId w:val="2"/>
        </w:numPr>
        <w:spacing w:after="40" w:before="40"/>
      </w:pPr>
      <w:r>
        <w:rPr>
          <w:rFonts w:ascii="Arial" w:cs="Arial" w:eastAsia="Arial" w:hAnsi="Arial"/>
          <w:color w:val="595959"/>
          <w:sz w:val="22"/>
          <w:szCs w:val="22"/>
        </w:rPr>
        <w:t xml:space="preserve">County-specific or hazard-type-specific pages for deeper topical authority</w:t>
      </w:r>
    </w:p>
    <w:p>
      <w:pPr>
        <w:pStyle w:val="ListParagraph"/>
        <w:numPr>
          <w:ilvl w:val="0"/>
          <w:numId w:val="2"/>
        </w:numPr>
        <w:spacing w:after="40" w:before="40"/>
      </w:pPr>
      <w:r>
        <w:rPr>
          <w:rFonts w:ascii="Arial" w:cs="Arial" w:eastAsia="Arial" w:hAnsi="Arial"/>
          <w:color w:val="595959"/>
          <w:sz w:val="22"/>
          <w:szCs w:val="22"/>
        </w:rPr>
        <w:t xml:space="preserve">Content structured for AI: question-framed subheadings, comparison tables, numbered lists, schema markup</w:t>
      </w:r>
    </w:p>
    <w:p>
      <w:pPr>
        <w:spacing w:after="120" w:before="0"/>
      </w:pPr>
      <w:r>
        <w:t xml:space="preserve"/>
      </w:r>
    </w:p>
    <w:p>
      <w:pPr>
        <w:pStyle w:val="Heading2"/>
        <w:spacing w:after="80" w:before="240"/>
      </w:pPr>
      <w:r>
        <w:rPr>
          <w:rFonts w:ascii="Arial" w:cs="Arial" w:eastAsia="Arial" w:hAnsi="Arial"/>
          <w:b/>
          <w:bCs/>
          <w:color w:val="538135"/>
          <w:sz w:val="24"/>
          <w:szCs w:val="24"/>
        </w:rPr>
        <w:t xml:space="preserve">2. Technical Setup</w:t>
      </w:r>
    </w:p>
    <w:p>
      <w:pPr>
        <w:spacing w:after="80" w:before="80"/>
      </w:pPr>
      <w:r>
        <w:rPr>
          <w:rFonts w:ascii="Arial" w:cs="Arial" w:eastAsia="Arial" w:hAnsi="Arial"/>
          <w:color w:val="595959"/>
          <w:sz w:val="22"/>
          <w:szCs w:val="22"/>
        </w:rPr>
        <w:t xml:space="preserve">Ensure AI crawlers can access and understand myNHD's site, and that the site's structure signals authority.</w:t>
      </w:r>
    </w:p>
    <w:p>
      <w:pPr>
        <w:pStyle w:val="ListParagraph"/>
        <w:numPr>
          <w:ilvl w:val="0"/>
          <w:numId w:val="2"/>
        </w:numPr>
        <w:spacing w:after="40" w:before="40"/>
      </w:pPr>
      <w:r>
        <w:rPr>
          <w:rFonts w:ascii="Arial" w:cs="Arial" w:eastAsia="Arial" w:hAnsi="Arial"/>
          <w:color w:val="595959"/>
          <w:sz w:val="22"/>
          <w:szCs w:val="22"/>
        </w:rPr>
        <w:t xml:space="preserve">robots.txt audit — verify AI crawlers are not inadvertently blocked</w:t>
      </w:r>
    </w:p>
    <w:p>
      <w:pPr>
        <w:pStyle w:val="ListParagraph"/>
        <w:numPr>
          <w:ilvl w:val="0"/>
          <w:numId w:val="2"/>
        </w:numPr>
        <w:spacing w:after="40" w:before="40"/>
      </w:pPr>
      <w:r>
        <w:rPr>
          <w:rFonts w:ascii="Arial" w:cs="Arial" w:eastAsia="Arial" w:hAnsi="Arial"/>
          <w:color w:val="595959"/>
          <w:sz w:val="22"/>
          <w:szCs w:val="22"/>
        </w:rPr>
        <w:t xml:space="preserve">Cloudflare configuration review — recent Cloudflare defaults block AI bots automatically</w:t>
      </w:r>
    </w:p>
    <w:p>
      <w:pPr>
        <w:pStyle w:val="ListParagraph"/>
        <w:numPr>
          <w:ilvl w:val="0"/>
          <w:numId w:val="2"/>
        </w:numPr>
        <w:spacing w:after="40" w:before="40"/>
      </w:pPr>
      <w:r>
        <w:rPr>
          <w:rFonts w:ascii="Arial" w:cs="Arial" w:eastAsia="Arial" w:hAnsi="Arial"/>
          <w:color w:val="595959"/>
          <w:sz w:val="22"/>
          <w:szCs w:val="22"/>
        </w:rPr>
        <w:t xml:space="preserve">Creation of an llms.txt file to help AI systems understand the site's structure and purpose</w:t>
      </w:r>
    </w:p>
    <w:p>
      <w:pPr>
        <w:pStyle w:val="ListParagraph"/>
        <w:numPr>
          <w:ilvl w:val="0"/>
          <w:numId w:val="2"/>
        </w:numPr>
        <w:spacing w:after="40" w:before="40"/>
      </w:pPr>
      <w:r>
        <w:rPr>
          <w:rFonts w:ascii="Arial" w:cs="Arial" w:eastAsia="Arial" w:hAnsi="Arial"/>
          <w:color w:val="595959"/>
          <w:sz w:val="22"/>
          <w:szCs w:val="22"/>
        </w:rPr>
        <w:t xml:space="preserve">Schema markup implementation on key pages (FAQ schema, organization schema, breadcrumb schema)</w:t>
      </w:r>
    </w:p>
    <w:p>
      <w:pPr>
        <w:pStyle w:val="ListParagraph"/>
        <w:numPr>
          <w:ilvl w:val="0"/>
          <w:numId w:val="2"/>
        </w:numPr>
        <w:spacing w:after="40" w:before="40"/>
      </w:pPr>
      <w:r>
        <w:rPr>
          <w:rFonts w:ascii="Arial" w:cs="Arial" w:eastAsia="Arial" w:hAnsi="Arial"/>
          <w:color w:val="595959"/>
          <w:sz w:val="22"/>
          <w:szCs w:val="22"/>
        </w:rPr>
        <w:t xml:space="preserve">Technical review of site structure for AI readability</w:t>
      </w:r>
    </w:p>
    <w:p>
      <w:pPr>
        <w:spacing w:after="120" w:before="0"/>
      </w:pPr>
      <w:r>
        <w:t xml:space="preserve"/>
      </w:r>
    </w:p>
    <w:p>
      <w:pPr>
        <w:pStyle w:val="Heading2"/>
        <w:spacing w:after="80" w:before="240"/>
      </w:pPr>
      <w:r>
        <w:rPr>
          <w:rFonts w:ascii="Arial" w:cs="Arial" w:eastAsia="Arial" w:hAnsi="Arial"/>
          <w:b/>
          <w:bCs/>
          <w:color w:val="538135"/>
          <w:sz w:val="24"/>
          <w:szCs w:val="24"/>
        </w:rPr>
        <w:t xml:space="preserve">3. Third-Party Presence and Citation Building</w:t>
      </w:r>
    </w:p>
    <w:p>
      <w:pPr>
        <w:spacing w:after="80" w:before="80"/>
      </w:pPr>
      <w:r>
        <w:rPr>
          <w:rFonts w:ascii="Arial" w:cs="Arial" w:eastAsia="Arial" w:hAnsi="Arial"/>
          <w:color w:val="595959"/>
          <w:sz w:val="22"/>
          <w:szCs w:val="22"/>
        </w:rPr>
        <w:t xml:space="preserve">AI tools weight brands that are mentioned across the web, not just on their own sites. This work stream builds the off-site footprint that amplifies content authority.</w:t>
      </w:r>
    </w:p>
    <w:p>
      <w:pPr>
        <w:pStyle w:val="ListParagraph"/>
        <w:numPr>
          <w:ilvl w:val="0"/>
          <w:numId w:val="2"/>
        </w:numPr>
        <w:spacing w:after="40" w:before="40"/>
      </w:pPr>
      <w:r>
        <w:rPr>
          <w:rFonts w:ascii="Arial" w:cs="Arial" w:eastAsia="Arial" w:hAnsi="Arial"/>
          <w:color w:val="595959"/>
          <w:sz w:val="22"/>
          <w:szCs w:val="22"/>
        </w:rPr>
        <w:t xml:space="preserve">Google Business Profile review and optimization</w:t>
      </w:r>
    </w:p>
    <w:p>
      <w:pPr>
        <w:pStyle w:val="ListParagraph"/>
        <w:numPr>
          <w:ilvl w:val="0"/>
          <w:numId w:val="2"/>
        </w:numPr>
        <w:spacing w:after="40" w:before="40"/>
      </w:pPr>
      <w:r>
        <w:rPr>
          <w:rFonts w:ascii="Arial" w:cs="Arial" w:eastAsia="Arial" w:hAnsi="Arial"/>
          <w:color w:val="595959"/>
          <w:sz w:val="22"/>
          <w:szCs w:val="22"/>
        </w:rPr>
        <w:t xml:space="preserve">Setup or activation of review presence on relevant platforms (Google, Yelp, real estate-specific platforms)</w:t>
      </w:r>
    </w:p>
    <w:p>
      <w:pPr>
        <w:pStyle w:val="ListParagraph"/>
        <w:numPr>
          <w:ilvl w:val="0"/>
          <w:numId w:val="2"/>
        </w:numPr>
        <w:spacing w:after="40" w:before="40"/>
      </w:pPr>
      <w:r>
        <w:rPr>
          <w:rFonts w:ascii="Arial" w:cs="Arial" w:eastAsia="Arial" w:hAnsi="Arial"/>
          <w:color w:val="595959"/>
          <w:sz w:val="22"/>
          <w:szCs w:val="22"/>
        </w:rPr>
        <w:t xml:space="preserve">LinkedIn company page content strategy (LinkedIn has strong LLM visibility for B2B brands)</w:t>
      </w:r>
    </w:p>
    <w:p>
      <w:pPr>
        <w:pStyle w:val="ListParagraph"/>
        <w:numPr>
          <w:ilvl w:val="0"/>
          <w:numId w:val="2"/>
        </w:numPr>
        <w:spacing w:after="40" w:before="40"/>
      </w:pPr>
      <w:r>
        <w:rPr>
          <w:rFonts w:ascii="Arial" w:cs="Arial" w:eastAsia="Arial" w:hAnsi="Arial"/>
          <w:color w:val="595959"/>
          <w:sz w:val="22"/>
          <w:szCs w:val="22"/>
        </w:rPr>
        <w:t xml:space="preserve">Identification of California real estate industry publications for potential editorial placement</w:t>
      </w:r>
    </w:p>
    <w:p>
      <w:pPr>
        <w:pStyle w:val="ListParagraph"/>
        <w:numPr>
          <w:ilvl w:val="0"/>
          <w:numId w:val="2"/>
        </w:numPr>
        <w:spacing w:after="40" w:before="40"/>
      </w:pPr>
      <w:r>
        <w:rPr>
          <w:rFonts w:ascii="Arial" w:cs="Arial" w:eastAsia="Arial" w:hAnsi="Arial"/>
          <w:color w:val="595959"/>
          <w:sz w:val="22"/>
          <w:szCs w:val="22"/>
        </w:rPr>
        <w:t xml:space="preserve">Outreach strategy for getting myNHD cited in industry articles, roundups, and resources</w:t>
      </w:r>
    </w:p>
    <w:p>
      <w:pPr>
        <w:spacing w:after="120" w:before="0"/>
      </w:pPr>
      <w:r>
        <w:t xml:space="preserve"/>
      </w:r>
    </w:p>
    <w:p>
      <w:pPr>
        <w:pStyle w:val="Heading1"/>
        <w:spacing w:after="120" w:before="320"/>
      </w:pPr>
      <w:r>
        <w:rPr>
          <w:rFonts w:ascii="Arial" w:cs="Arial" w:eastAsia="Arial" w:hAnsi="Arial"/>
          <w:b/>
          <w:bCs/>
          <w:color w:val="375623"/>
          <w:sz w:val="28"/>
          <w:szCs w:val="28"/>
        </w:rPr>
        <w:t xml:space="preserve">Effort Estimate</w:t>
      </w:r>
    </w:p>
    <w:p>
      <w:pPr>
        <w:spacing w:after="80" w:before="80"/>
      </w:pPr>
      <w:r>
        <w:rPr>
          <w:rFonts w:ascii="Arial" w:cs="Arial" w:eastAsia="Arial" w:hAnsi="Arial"/>
          <w:color w:val="595959"/>
          <w:sz w:val="22"/>
          <w:szCs w:val="22"/>
        </w:rPr>
        <w:t xml:space="preserve">This is a phased program. The initial engagement focuses on the highest-leverage items: technical setup, content strategy, and producing the first wave of authoritative pages.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Work Stream</w:t>
            </w:r>
          </w:p>
        </w:tc>
        <w:tc>
          <w:tcPr>
            <w:tcW w:type="dxa" w:w="28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Hours</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robots.txt and Cloudflare audit, llms.txt creation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2–4 hrs</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Schema markup implementation on key pages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3–5 hrs</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Topic cluster strategy and content mapping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4–6 hrs</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Content production — initial wave of 8–10 authoritative pages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12–20 hrs</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FAQ page expansion (substantive agent questions)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3–5 hrs</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Third-party presence audit and optimization (Google, LinkedIn, reviews)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4–6 hrs</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AI visibility baseline measurement and tracking setup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2–4 hrs</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Project coordination and review</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3–4 hrs</w:t>
            </w:r>
          </w:p>
        </w:tc>
      </w:tr>
      <w:tr>
        <w:tc>
          <w:tcPr>
            <w:tcW w:type="dxa" w:w="6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Total estimated initial engagement</w:t>
            </w:r>
          </w:p>
        </w:tc>
        <w:tc>
          <w:tcPr>
            <w:tcW w:type="dxa" w:w="28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33–54 hrs</w:t>
            </w:r>
          </w:p>
        </w:tc>
      </w:tr>
    </w:tbl>
    <w:p>
      <w:pPr>
        <w:spacing w:after="120" w:before="0"/>
      </w:pPr>
      <w:r>
        <w:t xml:space="preserve"/>
      </w:r>
    </w:p>
    <w:p>
      <w:pPr>
        <w:pStyle w:val="Heading1"/>
        <w:spacing w:after="120" w:before="320"/>
      </w:pPr>
      <w:r>
        <w:rPr>
          <w:rFonts w:ascii="Arial" w:cs="Arial" w:eastAsia="Arial" w:hAnsi="Arial"/>
          <w:b/>
          <w:bCs/>
          <w:color w:val="375623"/>
          <w:sz w:val="28"/>
          <w:szCs w:val="28"/>
        </w:rPr>
        <w:t xml:space="preserve">How We Measure It</w:t>
      </w:r>
    </w:p>
    <w:p>
      <w:pPr>
        <w:spacing w:after="80" w:before="80"/>
      </w:pPr>
      <w:r>
        <w:rPr>
          <w:rFonts w:ascii="Arial" w:cs="Arial" w:eastAsia="Arial" w:hAnsi="Arial"/>
          <w:color w:val="595959"/>
          <w:sz w:val="22"/>
          <w:szCs w:val="22"/>
        </w:rPr>
        <w:t xml:space="preserve">GEO results are measurable. The following tracking methods provide visibility into whether the program is working:</w:t>
      </w:r>
    </w:p>
    <w:p>
      <w:pPr>
        <w:pStyle w:val="ListParagraph"/>
        <w:numPr>
          <w:ilvl w:val="0"/>
          <w:numId w:val="2"/>
        </w:numPr>
        <w:spacing w:after="40" w:before="40"/>
      </w:pPr>
      <w:r>
        <w:rPr>
          <w:rFonts w:ascii="Arial" w:cs="Arial" w:eastAsia="Arial" w:hAnsi="Arial"/>
          <w:color w:val="595959"/>
          <w:sz w:val="22"/>
          <w:szCs w:val="22"/>
        </w:rPr>
        <w:t xml:space="preserve">LLMrefs — tracks myNHD brand mention frequency across ChatGPT, Claude, Perplexity, Gemini, and others</w:t>
      </w:r>
    </w:p>
    <w:p>
      <w:pPr>
        <w:pStyle w:val="ListParagraph"/>
        <w:numPr>
          <w:ilvl w:val="0"/>
          <w:numId w:val="2"/>
        </w:numPr>
        <w:spacing w:after="40" w:before="40"/>
      </w:pPr>
      <w:r>
        <w:rPr>
          <w:rFonts w:ascii="Arial" w:cs="Arial" w:eastAsia="Arial" w:hAnsi="Arial"/>
          <w:color w:val="595959"/>
          <w:sz w:val="22"/>
          <w:szCs w:val="22"/>
        </w:rPr>
        <w:t xml:space="preserve">Semrush AI Tracking and Ahrefs Brand Radar — emerging AI visibility monitoring tools</w:t>
      </w:r>
    </w:p>
    <w:p>
      <w:pPr>
        <w:pStyle w:val="ListParagraph"/>
        <w:numPr>
          <w:ilvl w:val="0"/>
          <w:numId w:val="2"/>
        </w:numPr>
        <w:spacing w:after="40" w:before="40"/>
      </w:pPr>
      <w:r>
        <w:rPr>
          <w:rFonts w:ascii="Arial" w:cs="Arial" w:eastAsia="Arial" w:hAnsi="Arial"/>
          <w:color w:val="595959"/>
          <w:sz w:val="22"/>
          <w:szCs w:val="22"/>
        </w:rPr>
        <w:t xml:space="preserve">Google Search Console — branded homepage traffic often increases as users discover brands through AI responses and then validate via Google</w:t>
      </w:r>
    </w:p>
    <w:p>
      <w:pPr>
        <w:pStyle w:val="ListParagraph"/>
        <w:numPr>
          <w:ilvl w:val="0"/>
          <w:numId w:val="2"/>
        </w:numPr>
        <w:spacing w:after="40" w:before="40"/>
      </w:pPr>
      <w:r>
        <w:rPr>
          <w:rFonts w:ascii="Arial" w:cs="Arial" w:eastAsia="Arial" w:hAnsi="Arial"/>
          <w:color w:val="595959"/>
          <w:sz w:val="22"/>
          <w:szCs w:val="22"/>
        </w:rPr>
        <w:t xml:space="preserve">GA4 custom dimensions — identify sessions originating from LLM referrals</w:t>
      </w:r>
    </w:p>
    <w:p>
      <w:pPr>
        <w:spacing w:after="120" w:before="0"/>
      </w:pPr>
      <w:r>
        <w:t xml:space="preserve"/>
      </w:r>
    </w:p>
    <w:p>
      <w:pPr>
        <w:spacing w:after="80" w:before="80"/>
      </w:pPr>
      <w:r>
        <w:rPr>
          <w:rFonts w:ascii="Arial" w:cs="Arial" w:eastAsia="Arial" w:hAnsi="Arial"/>
          <w:color w:val="595959"/>
          <w:sz w:val="22"/>
          <w:szCs w:val="22"/>
        </w:rPr>
        <w:t xml:space="preserve">Results in GEO take time — typically 60 to 90 days before content is indexed, cited in training data, or begins appearing in AI responses with meaningful frequency. We establish a baseline at the start and measure monthly.</w:t>
      </w:r>
    </w:p>
    <w:p>
      <w:pPr>
        <w:spacing w:after="120" w:before="0"/>
      </w:pPr>
      <w:r>
        <w:t xml:space="preserve"/>
      </w:r>
    </w:p>
    <w:p>
      <w:pPr>
        <w:pStyle w:val="Heading1"/>
        <w:spacing w:after="120" w:before="320"/>
      </w:pPr>
      <w:r>
        <w:rPr>
          <w:rFonts w:ascii="Arial" w:cs="Arial" w:eastAsia="Arial" w:hAnsi="Arial"/>
          <w:b/>
          <w:bCs/>
          <w:color w:val="375623"/>
          <w:sz w:val="28"/>
          <w:szCs w:val="28"/>
        </w:rPr>
        <w:t xml:space="preserve">Optional Monitoring Tool Costs</w:t>
      </w:r>
    </w:p>
    <w:p>
      <w:pPr>
        <w:spacing w:after="80" w:before="80"/>
      </w:pPr>
      <w:r>
        <w:rPr>
          <w:rFonts w:ascii="Arial" w:cs="Arial" w:eastAsia="Arial" w:hAnsi="Arial"/>
          <w:color w:val="595959"/>
          <w:sz w:val="22"/>
          <w:szCs w:val="22"/>
        </w:rPr>
        <w:t xml:space="preserve">The tracking tools listed above are optional — a GEO pilot can be run and measured manually without them. If myNHD chooses to add dedicated AI visibility monitoring, the following cost estimates apply: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LLMrefs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 brand mention tracking across major LLMs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Free tier available; paid plans vary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Semrush (AI add-on)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 visibility and brand radar tracking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Estimated $140-250/mo depending on plan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Ahrefs (Lite)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Brand radar and AI citation monitoring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Estimated $130/mo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Profound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Dedicated AI search visibility platform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Emerging tool; pricing on request</w:t>
            </w:r>
          </w:p>
        </w:tc>
      </w:tr>
    </w:tbl>
    <w:p>
      <w:pPr>
        <w:spacing w:after="120" w:before="0"/>
      </w:pPr>
      <w:r>
        <w:t xml:space="preserve"/>
      </w:r>
    </w:p>
    <w:p>
      <w:pPr>
        <w:spacing w:after="80" w:before="80"/>
      </w:pPr>
      <w:r>
        <w:rPr>
          <w:rFonts w:ascii="Arial" w:cs="Arial" w:eastAsia="Arial" w:hAnsi="Arial"/>
          <w:i/>
          <w:iCs/>
          <w:color w:val="595959"/>
          <w:sz w:val="22"/>
          <w:szCs w:val="22"/>
        </w:rPr>
        <w:t xml:space="preserve">For a pilot engagement, LLMrefs (free tier) combined with manual prompt testing is sufficient to establish a baseline and demonstrate early results before committing to paid monitoring tools.</w:t>
      </w:r>
    </w:p>
    <w:p>
      <w:pPr>
        <w:spacing w:after="120" w:before="0"/>
      </w:pPr>
      <w:r>
        <w:t xml:space="preserve"/>
      </w:r>
    </w:p>
    <w:p>
      <w:pPr>
        <w:pStyle w:val="Heading1"/>
        <w:spacing w:after="120" w:before="320"/>
      </w:pPr>
      <w:r>
        <w:rPr>
          <w:rFonts w:ascii="Arial" w:cs="Arial" w:eastAsia="Arial" w:hAnsi="Arial"/>
          <w:b/>
          <w:bCs/>
          <w:color w:val="375623"/>
          <w:sz w:val="28"/>
          <w:szCs w:val="28"/>
        </w:rPr>
        <w:t xml:space="preserve">Why Now</w:t>
      </w:r>
    </w:p>
    <w:p>
      <w:pPr>
        <w:spacing w:after="80" w:before="80"/>
      </w:pPr>
      <w:r>
        <w:rPr>
          <w:rFonts w:ascii="Arial" w:cs="Arial" w:eastAsia="Arial" w:hAnsi="Arial"/>
          <w:color w:val="595959"/>
          <w:sz w:val="22"/>
          <w:szCs w:val="22"/>
        </w:rPr>
        <w:t xml:space="preserve">The window for first-mover advantage in the NHD space is open. No competitor appears to be doing this. The brands with the strongest presence in AI search responses six months from now will be those who started building content authority today.</w:t>
      </w:r>
    </w:p>
    <w:p>
      <w:pPr>
        <w:spacing w:after="80" w:before="80"/>
      </w:pPr>
      <w:r>
        <w:rPr>
          <w:rFonts w:ascii="Arial" w:cs="Arial" w:eastAsia="Arial" w:hAnsi="Arial"/>
          <w:color w:val="595959"/>
          <w:sz w:val="22"/>
          <w:szCs w:val="22"/>
        </w:rPr>
        <w:t xml:space="preserve">GEO also builds on everything myNHD already has: two decades of domain authority, a clear and defensible niche, and a customer base that is increasingly AI-native in how they find vendors.</w:t>
      </w:r>
    </w:p>
    <w:p>
      <w:pPr>
        <w:spacing w:after="80" w:before="80"/>
      </w:pPr>
      <w:r>
        <w:rPr>
          <w:rFonts w:ascii="Arial" w:cs="Arial" w:eastAsia="Arial" w:hAnsi="Arial"/>
          <w:color w:val="595959"/>
          <w:sz w:val="22"/>
          <w:szCs w:val="22"/>
        </w:rPr>
        <w:t xml:space="preserve">This program is designed to be a natural extension of the AI-assisted marketing programs in Programs 1 and 2 — the same zero-code, AI-assisted approach, applied to making myNHD visible in the AI search layer where its customers are increasingly looking.</w:t>
      </w:r>
    </w:p>
    <w:p>
      <w:pPr>
        <w:spacing w:after="120" w:before="0"/>
      </w:pPr>
      <w:r>
        <w:t xml:space="preserve"/>
      </w:r>
    </w:p>
    <w:p>
      <w:pPr>
        <w:pBdr>
          <w:bottom w:val="single" w:color="538135" w:sz="4" w:space="1"/>
        </w:pBdr>
        <w:spacing w:after="160" w:before="160"/>
      </w:pPr>
      <w:r>
        <w:t xml:space="preserve"/>
      </w:r>
    </w:p>
    <w:p>
      <w:pPr>
        <w:spacing w:after="80" w:before="80"/>
      </w:pPr>
      <w:r>
        <w:rPr>
          <w:rFonts w:ascii="Arial" w:cs="Arial" w:eastAsia="Arial" w:hAnsi="Arial"/>
          <w:i/>
          <w:iCs/>
          <w:color w:val="595959"/>
          <w:sz w:val="22"/>
          <w:szCs w:val="22"/>
        </w:rPr>
        <w:t xml:space="preserve">This proposal outlines a future engagement opportunity. Specific timing, phasing, and investment details are subject to discussion with myNHD leadership.</w:t>
      </w:r>
    </w:p>
    <w:p>
      <w:pPr>
        <w:spacing w:after="120" w:before="0"/>
      </w:pPr>
      <w:r>
        <w:t xml:space="preserve"/>
      </w:r>
    </w:p>
    <w:p>
      <w:pPr>
        <w:spacing w:after="80" w:before="80"/>
      </w:pPr>
      <w:r>
        <w:rPr>
          <w:rFonts w:ascii="Arial" w:cs="Arial" w:eastAsia="Arial" w:hAnsi="Arial"/>
          <w:b/>
          <w:bCs/>
          <w:color w:val="595959"/>
          <w:sz w:val="22"/>
          <w:szCs w:val="22"/>
        </w:rPr>
        <w:t xml:space="preserve">Thomas Cocotis  |  tcp@cocotis.com  |  May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8135" w:sz="4" w:space="4"/>
      </w:pBdr>
      <w:tabs>
        <w:tab w:val="right" w:pos="9026"/>
      </w:tabs>
      <w:spacing w:before="120"/>
    </w:pPr>
    <w:r>
      <w:rPr>
        <w:rFonts w:ascii="Arial" w:cs="Arial" w:eastAsia="Arial" w:hAnsi="Arial"/>
        <w:color w:val="595959"/>
        <w:sz w:val="18"/>
        <w:szCs w:val="18"/>
      </w:rPr>
      <w:t xml:space="preserve">Confidential  |  May 2026</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8135" w:sz="4" w:space="4"/>
      </w:pBdr>
      <w:tabs>
        <w:tab w:val="right" w:pos="9026"/>
      </w:tabs>
      <w:spacing w:after="120"/>
    </w:pPr>
    <w:r>
      <w:rPr>
        <w:rFonts w:ascii="Arial" w:cs="Arial" w:eastAsia="Arial" w:hAnsi="Arial"/>
        <w:color w:val="595959"/>
        <w:sz w:val="18"/>
        <w:szCs w:val="18"/>
      </w:rPr>
      <w:t xml:space="preserve">Thomas Cocotis  |  tcp@cocotis.com</w:t>
    </w:r>
    <w:r>
      <w:rPr>
        <w:rFonts w:ascii="Arial" w:cs="Arial" w:eastAsia="Arial" w:hAnsi="Arial"/>
        <w:i/>
        <w:iCs/>
        <w:color w:val="595959"/>
        <w:sz w:val="18"/>
        <w:szCs w:val="18"/>
      </w:rPr>
      <w:t xml:space="preserve">	Future Opportunity: GEO Strategy for AI Search Visibility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375623"/>
      <w:sz w:val="28"/>
      <w:szCs w:val="28"/>
    </w:rPr>
  </w:style>
  <w:style w:type="paragraph" w:styleId="Heading2">
    <w:name w:val="Heading 2"/>
    <w:basedOn w:val="Normal"/>
    <w:next w:val="Normal"/>
    <w:qFormat/>
    <w:pPr>
      <w:spacing w:after="80" w:before="240"/>
      <w:outlineLvl w:val="1"/>
    </w:pPr>
    <w:rPr>
      <w:rFonts w:ascii="Arial" w:cs="Arial" w:eastAsia="Arial" w:hAnsi="Arial"/>
      <w:b/>
      <w:bCs/>
      <w:color w:val="5381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2026-05-13T19:50:21.108Z</dcterms:created>
  <dcterms:modified xsi:type="dcterms:W3CDTF">2026-05-13T19:50:21.108Z</dcterms:modified>
</cp:coreProperties>
</file>

<file path=docProps/custom.xml><?xml version="1.0" encoding="utf-8"?>
<Properties xmlns="http://schemas.openxmlformats.org/officeDocument/2006/custom-properties" xmlns:vt="http://schemas.openxmlformats.org/officeDocument/2006/docPropsVTypes"/>
</file>