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334366"/>
          <w:sz w:val="36"/>
        </w:rPr>
        <w:t>Lab 07: Visualization &amp; Dashboarding</w:t>
      </w:r>
    </w:p>
    <w:p>
      <w:pPr>
        <w:jc w:val="center"/>
      </w:pPr>
      <w:r>
        <w:rPr>
          <w:rFonts w:ascii="Calibri" w:hAnsi="Calibri"/>
          <w:i/>
          <w:color w:val="BF994A"/>
          <w:sz w:val="24"/>
        </w:rPr>
        <w:t>Data Communication and Dashboard Design</w:t>
      </w:r>
    </w:p>
    <w:p/>
    <w:tbl>
      <w:tblPr>
        <w:tblStyle w:val="TableGrid"/>
        <w:tblW w:type="auto" w:w="0"/>
        <w:tblLook w:firstColumn="1" w:firstRow="1" w:lastColumn="0" w:lastRow="0" w:noHBand="0" w:noVBand="1" w:val="04A0"/>
      </w:tblPr>
      <w:tblGrid>
        <w:gridCol w:w="4320"/>
        <w:gridCol w:w="4320"/>
      </w:tblGrid>
      <w:tr>
        <w:tc>
          <w:tcPr>
            <w:tcW w:type="dxa" w:w="4320"/>
          </w:tcPr>
          <w:p>
            <w:r>
              <w:rPr>
                <w:b/>
              </w:rPr>
              <w:t>CS Lead:</w:t>
            </w:r>
          </w:p>
        </w:tc>
        <w:tc>
          <w:tcPr>
            <w:tcW w:type="dxa" w:w="4320"/>
          </w:tcPr>
          <w:p>
            <w:r>
              <w:t>Abbot Tubeine (Bombo)</w:t>
            </w:r>
          </w:p>
        </w:tc>
      </w:tr>
      <w:tr>
        <w:tc>
          <w:tcPr>
            <w:tcW w:type="dxa" w:w="4320"/>
          </w:tcPr>
          <w:p>
            <w:r>
              <w:rPr>
                <w:b/>
              </w:rPr>
              <w:t>Business Lead:</w:t>
            </w:r>
          </w:p>
        </w:tc>
        <w:tc>
          <w:tcPr>
            <w:tcW w:type="dxa" w:w="4320"/>
          </w:tcPr>
          <w:p>
            <w:r>
              <w:t>[Business Partner]</w:t>
            </w:r>
          </w:p>
        </w:tc>
      </w:tr>
      <w:tr>
        <w:tc>
          <w:tcPr>
            <w:tcW w:type="dxa" w:w="4320"/>
          </w:tcPr>
          <w:p>
            <w:r>
              <w:rPr>
                <w:b/>
              </w:rPr>
              <w:t>Date:</w:t>
            </w:r>
          </w:p>
        </w:tc>
        <w:tc>
          <w:tcPr>
            <w:tcW w:type="dxa" w:w="4320"/>
          </w:tcPr>
          <w:p>
            <w:r>
              <w:t>March 25, 2026</w:t>
            </w:r>
          </w:p>
        </w:tc>
      </w:tr>
    </w:tbl>
    <w:p/>
    <w:p>
      <w:pPr>
        <w:pStyle w:val="Heading1"/>
      </w:pPr>
      <w:r>
        <w:rPr>
          <w:rFonts w:ascii="Calibri" w:hAnsi="Calibri"/>
          <w:color w:val="334366"/>
        </w:rPr>
        <w:t>Audience Analysis</w:t>
      </w:r>
    </w:p>
    <w:p>
      <w:r>
        <w:rPr>
          <w:rFonts w:ascii="Calibri" w:hAnsi="Calibri"/>
          <w:i/>
          <w:color w:val="666666"/>
          <w:sz w:val="20"/>
        </w:rPr>
        <w:t>Analyze the different audiences who will use your dashboard.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34366"/>
          </w:tcPr>
          <w:p>
            <w:r>
              <w:rPr>
                <w:rFonts w:ascii="Calibri" w:hAnsi="Calibri"/>
                <w:b/>
                <w:color w:val="FFFFFF"/>
              </w:rPr>
              <w:t>Audience</w:t>
            </w:r>
          </w:p>
        </w:tc>
        <w:tc>
          <w:tcPr>
            <w:tcW w:type="dxa" w:w="2160"/>
            <w:shd w:fill="334366"/>
          </w:tcPr>
          <w:p>
            <w:r>
              <w:rPr>
                <w:rFonts w:ascii="Calibri" w:hAnsi="Calibri"/>
                <w:b/>
                <w:color w:val="FFFFFF"/>
              </w:rPr>
              <w:t>Key Questions They Ask</w:t>
            </w:r>
          </w:p>
        </w:tc>
        <w:tc>
          <w:tcPr>
            <w:tcW w:type="dxa" w:w="2160"/>
            <w:shd w:fill="334366"/>
          </w:tcPr>
          <w:p>
            <w:r>
              <w:rPr>
                <w:rFonts w:ascii="Calibri" w:hAnsi="Calibri"/>
                <w:b/>
                <w:color w:val="FFFFFF"/>
              </w:rPr>
              <w:t>Detail Level Needed</w:t>
            </w:r>
          </w:p>
        </w:tc>
        <w:tc>
          <w:tcPr>
            <w:tcW w:type="dxa" w:w="2160"/>
            <w:shd w:fill="334366"/>
          </w:tcPr>
          <w:p>
            <w:r>
              <w:rPr>
                <w:rFonts w:ascii="Calibri" w:hAnsi="Calibri"/>
                <w:b/>
                <w:color w:val="FFFFFF"/>
              </w:rPr>
              <w:t>Actions They'll Take</w:t>
            </w:r>
          </w:p>
        </w:tc>
      </w:tr>
      <w:tr>
        <w:tc>
          <w:tcPr>
            <w:tcW w:type="dxa" w:w="2160"/>
          </w:tcPr>
          <w:p>
            <w:r>
              <w:t xml:space="preserve">Operations Manager</w:t>
            </w:r>
          </w:p>
        </w:tc>
        <w:tc>
          <w:tcPr>
            <w:tcW w:type="dxa" w:w="2160"/>
          </w:tcPr>
          <w:p>
            <w:r>
              <w:t xml:space="preserve">Which region or product is underperforming? Where are return rates too high?</w:t>
            </w:r>
          </w:p>
        </w:tc>
        <w:tc>
          <w:tcPr>
            <w:tcW w:type="dxa" w:w="2160"/>
          </w:tcPr>
          <w:p>
            <w:r>
              <w:t xml:space="preserve">Detailed breakdowns, filters by region and category</w:t>
            </w:r>
          </w:p>
        </w:tc>
        <w:tc>
          <w:tcPr>
            <w:tcW w:type="dxa" w:w="2160"/>
          </w:tcPr>
          <w:p>
            <w:r>
              <w:t xml:space="preserve">Reallocate resources, flag quality or fulfillment issues</w:t>
            </w:r>
          </w:p>
        </w:tc>
      </w:tr>
      <w:tr>
        <w:tc>
          <w:tcPr>
            <w:tcW w:type="dxa" w:w="2160"/>
            <w:shd w:fill="F5F5F5"/>
          </w:tcPr>
          <w:p>
            <w:r>
              <w:t xml:space="preserve">Marketing Team</w:t>
            </w:r>
          </w:p>
        </w:tc>
        <w:tc>
          <w:tcPr>
            <w:tcW w:type="dxa" w:w="2160"/>
            <w:shd w:fill="F5F5F5"/>
          </w:tcPr>
          <w:p>
            <w:r>
              <w:t xml:space="preserve">Which products are growing fastest? Is our ad spend paying off?</w:t>
            </w:r>
          </w:p>
        </w:tc>
        <w:tc>
          <w:tcPr>
            <w:tcW w:type="dxa" w:w="2160"/>
            <w:shd w:fill="F5F5F5"/>
          </w:tcPr>
          <w:p>
            <w:r>
              <w:t xml:space="preserve">Trend lines, growth rates, marketing spend vs. revenue scatter</w:t>
            </w:r>
          </w:p>
        </w:tc>
        <w:tc>
          <w:tcPr>
            <w:tcW w:type="dxa" w:w="2160"/>
            <w:shd w:fill="F5F5F5"/>
          </w:tcPr>
          <w:p>
            <w:r>
              <w:t xml:space="preserve">Adjust campaign budgets, create social media content</w:t>
            </w:r>
          </w:p>
        </w:tc>
      </w:tr>
    </w:tbl>
    <w:p>
      <w:r>
        <w:rPr>
          <w:rFonts w:ascii="Calibri" w:hAnsi="Calibri"/>
          <w:i/>
          <w:color w:val="666666"/>
          <w:sz w:val="20"/>
        </w:rPr>
        <w:t>Identify and characterize the audiences who will use your dashboard.</w:t>
      </w:r>
    </w:p>
    <w:p/>
    <w:p>
      <w:pPr>
        <w:pStyle w:val="Heading1"/>
      </w:pPr>
      <w:r>
        <w:rPr>
          <w:rFonts w:ascii="Calibri" w:hAnsi="Calibri"/>
          <w:color w:val="334366"/>
        </w:rPr>
        <w:t>Chart Type Selection</w:t>
      </w:r>
    </w:p>
    <w:p>
      <w:r>
        <w:rPr>
          <w:rFonts w:ascii="Calibri" w:hAnsi="Calibri"/>
          <w:i/>
          <w:color w:val="666666"/>
          <w:sz w:val="20"/>
        </w:rPr>
        <w:t>Match business questions to appropriate chart types.</w:t>
      </w:r>
    </w:p>
    <w:tbl>
      <w:tblPr>
        <w:tblStyle w:val="TableGrid"/>
        <w:tblW w:type="auto" w:w="0"/>
        <w:tblLook w:firstColumn="1" w:firstRow="1" w:lastColumn="0" w:lastRow="0" w:noHBand="0" w:noVBand="1" w:val="04A0"/>
      </w:tblPr>
      <w:tblGrid>
        <w:gridCol w:w="2880"/>
        <w:gridCol w:w="2880"/>
        <w:gridCol w:w="2880"/>
      </w:tblGrid>
      <w:tr>
        <w:tc>
          <w:tcPr>
            <w:tcW w:type="dxa" w:w="2880"/>
            <w:shd w:fill="334366"/>
          </w:tcPr>
          <w:p>
            <w:r>
              <w:rPr>
                <w:rFonts w:ascii="Calibri" w:hAnsi="Calibri"/>
                <w:b/>
                <w:color w:val="FFFFFF"/>
              </w:rPr>
              <w:t>Business Question</w:t>
            </w:r>
          </w:p>
        </w:tc>
        <w:tc>
          <w:tcPr>
            <w:tcW w:type="dxa" w:w="2880"/>
            <w:shd w:fill="334366"/>
          </w:tcPr>
          <w:p>
            <w:r>
              <w:rPr>
                <w:rFonts w:ascii="Calibri" w:hAnsi="Calibri"/>
                <w:b/>
                <w:color w:val="FFFFFF"/>
              </w:rPr>
              <w:t>Chart Type</w:t>
            </w:r>
          </w:p>
        </w:tc>
        <w:tc>
          <w:tcPr>
            <w:tcW w:type="dxa" w:w="2880"/>
            <w:shd w:fill="334366"/>
          </w:tcPr>
          <w:p>
            <w:r>
              <w:rPr>
                <w:rFonts w:ascii="Calibri" w:hAnsi="Calibri"/>
                <w:b/>
                <w:color w:val="FFFFFF"/>
              </w:rPr>
              <w:t>Justification</w:t>
            </w:r>
          </w:p>
        </w:tc>
      </w:tr>
      <w:tr>
        <w:tc>
          <w:tcPr>
            <w:tcW w:type="dxa" w:w="2880"/>
          </w:tcPr>
          <w:p/>
        </w:tc>
        <w:tc>
          <w:tcPr>
            <w:tcW w:type="dxa" w:w="2880"/>
          </w:tcPr>
          <w:p/>
        </w:tc>
        <w:tc>
          <w:tcPr>
            <w:tcW w:type="dxa" w:w="2880"/>
          </w:tcPr>
          <w:p/>
        </w:tc>
      </w:tr>
      <w:tr>
        <w:tc>
          <w:tcPr>
            <w:tcW w:type="dxa" w:w="2880"/>
            <w:shd w:fill="F5F5F5"/>
          </w:tcPr>
          <w:p/>
        </w:tc>
        <w:tc>
          <w:tcPr>
            <w:tcW w:type="dxa" w:w="2880"/>
            <w:shd w:fill="F5F5F5"/>
          </w:tcPr>
          <w:p/>
        </w:tc>
        <w:tc>
          <w:tcPr>
            <w:tcW w:type="dxa" w:w="2880"/>
            <w:shd w:fill="F5F5F5"/>
          </w:tcPr>
          <w:p/>
        </w:tc>
      </w:tr>
      <w:tr>
        <w:tc>
          <w:tcPr>
            <w:tcW w:type="dxa" w:w="2880"/>
          </w:tcPr>
          <w:p/>
        </w:tc>
        <w:tc>
          <w:tcPr>
            <w:tcW w:type="dxa" w:w="2880"/>
          </w:tcPr>
          <w:p/>
        </w:tc>
        <w:tc>
          <w:tcPr>
            <w:tcW w:type="dxa" w:w="2880"/>
          </w:tcPr>
          <w:p/>
        </w:tc>
      </w:tr>
      <w:tr>
        <w:tc>
          <w:tcPr>
            <w:tcW w:type="dxa" w:w="2880"/>
            <w:shd w:fill="F5F5F5"/>
          </w:tcPr>
          <w:p/>
        </w:tc>
        <w:tc>
          <w:tcPr>
            <w:tcW w:type="dxa" w:w="2880"/>
            <w:shd w:fill="F5F5F5"/>
          </w:tcPr>
          <w:p/>
        </w:tc>
        <w:tc>
          <w:tcPr>
            <w:tcW w:type="dxa" w:w="2880"/>
            <w:shd w:fill="F5F5F5"/>
          </w:tcPr>
          <w:p/>
        </w:tc>
      </w:tr>
      <w:tr>
        <w:tc>
          <w:tcPr>
            <w:tcW w:type="dxa" w:w="2880"/>
          </w:tcPr>
          <w:p/>
        </w:tc>
        <w:tc>
          <w:tcPr>
            <w:tcW w:type="dxa" w:w="2880"/>
          </w:tcPr>
          <w:p/>
        </w:tc>
        <w:tc>
          <w:tcPr>
            <w:tcW w:type="dxa" w:w="2880"/>
          </w:tcPr>
          <w:p/>
        </w:tc>
      </w:tr>
    </w:tbl>
    <w:p>
      <w:r>
        <w:rPr>
          <w:rFonts w:ascii="Calibri" w:hAnsi="Calibri"/>
          <w:i/>
          <w:color w:val="666666"/>
          <w:sz w:val="20"/>
        </w:rPr>
        <w:t>Select appropriate chart types for each business question and justify your choices.</w:t>
      </w:r>
    </w:p>
    <w:p/>
    <w:p>
      <w:pPr>
        <w:pStyle w:val="Heading1"/>
      </w:pPr>
      <w:r>
        <w:rPr>
          <w:rFonts w:ascii="Calibri" w:hAnsi="Calibri"/>
          <w:color w:val="334366"/>
        </w:rPr>
        <w:t>Dashboard</w:t>
      </w:r>
    </w:p>
    <w:p>
      <w:r>
        <w:rPr>
          <w:rFonts w:ascii="Calibri" w:hAnsi="Calibri"/>
          <w:i/>
          <w:color w:val="666666"/>
          <w:sz w:val="20"/>
        </w:rPr>
        <w:t>Provide a link to your published dashboard.</w:t>
      </w:r>
    </w:p>
    <w:p>
      <w:r>
        <w:rPr>
          <w:b/>
        </w:rPr>
        <w:t xml:space="preserve">Dashboard Link (Tableau Public / Google Sheets / Looker Studio): </w:t>
      </w:r>
      <w:r>
        <w:t>Lab07_TechFlow_Dashboard.ipynb (Jupyter Notebook) — see attached file</w:t>
      </w:r>
    </w:p>
    <w:p/>
    <w:p>
      <w:pPr>
        <w:jc w:val="center"/>
      </w:pPr>
      <w:r>
        <w:rPr>
          <w:i/>
          <w:color w:val="666666"/>
        </w:rPr>
        <w:t>[Insert Figure 1: Dashboard screenshot]</w:t>
      </w:r>
    </w:p>
    <w:p>
      <w:pPr>
        <w:jc w:val="center"/>
      </w:pPr>
      <w:r>
        <w:rPr>
          <w:b/>
        </w:rPr>
        <w:t xml:space="preserve">Figure 1: </w:t>
      </w:r>
      <w:r>
        <w:t>________________________________________</w:t>
      </w:r>
    </w:p>
    <w:p/>
    <w:p>
      <w:pPr>
        <w:pStyle w:val="Heading1"/>
      </w:pPr>
      <w:r>
        <w:rPr>
          <w:rFonts w:ascii="Calibri" w:hAnsi="Calibri"/>
          <w:color w:val="334366"/>
        </w:rPr>
        <w:t>Design Rationale</w:t>
      </w:r>
    </w:p>
    <w:p>
      <w:r>
        <w:rPr>
          <w:rFonts w:ascii="Calibri" w:hAnsi="Calibri"/>
          <w:i/>
          <w:color w:val="666666"/>
          <w:sz w:val="20"/>
        </w:rPr>
        <w:t>Explain your design decisions for executive vs operational views.</w:t>
      </w:r>
    </w:p>
    <w:p>
      <w:r>
        <w:rPr>
          <w:b/>
        </w:rPr>
        <w:t>Executive View:</w:t>
      </w:r>
    </w:p>
    <w:p>
      <w:r>
        <w:rPr>
          <w:rFonts w:ascii="Calibri" w:hAnsi="Calibri"/>
          <w:i/>
          <w:color w:val="666666"/>
          <w:sz w:val="20"/>
        </w:rPr>
        <w:t>What did you include? What did you exclude? Why?</w:t>
      </w:r>
    </w:p>
    <w:p>
      <w:r>
        <w:t>Kept it to 5 KPI cards (revenue, profit, margin, units, satisfaction) so the board can absorb the whole picture in under 10 seconds. Below that: a revenue trend line first — it tells the strategic story of whether the business is moving in the right direction. Region donut and product bar sit side by side to answer the two most common board questions. Bullet charts show each product line vs. its quarterly target. Removed the full detail table entirely — that belongs in ops.</w:t>
      </w:r>
    </w:p>
    <w:p>
      <w:r>
        <w:t/>
      </w:r>
    </w:p>
    <w:p>
      <w:r>
        <w:t/>
      </w:r>
    </w:p>
    <w:p/>
    <w:p>
      <w:r>
        <w:rPr>
          <w:b/>
        </w:rPr>
        <w:t>Operational View:</w:t>
      </w:r>
    </w:p>
    <w:p>
      <w:r>
        <w:rPr>
          <w:rFonts w:ascii="Calibri" w:hAnsi="Calibri"/>
          <w:i/>
          <w:color w:val="666666"/>
          <w:sz w:val="20"/>
        </w:rPr>
        <w:t>What additional detail/filters did you add? Why?</w:t>
      </w:r>
    </w:p>
    <w:p>
      <w:r>
        <w:t>Added profit margin grouped bar (region x product) so the ops team can spot margin erosion by geography. Return rate chart with a 2% alert threshold flags quality or fulfillment problems. Customer satisfaction heatmap lets the team see which region-product combinations need attention. Full interactive table at the bottom has every row with color-coded return rate cells — green, amber, red.</w:t>
      </w:r>
    </w:p>
    <w:p>
      <w:r>
        <w:t/>
      </w:r>
    </w:p>
    <w:p>
      <w:r>
        <w:t/>
      </w:r>
    </w:p>
    <w:p/>
    <w:p>
      <w:pPr>
        <w:pStyle w:val="Heading1"/>
      </w:pPr>
      <w:r>
        <w:rPr>
          <w:rFonts w:ascii="Calibri" w:hAnsi="Calibri"/>
          <w:color w:val="334366"/>
        </w:rPr>
        <w:t>Narrative Structure</w:t>
      </w:r>
    </w:p>
    <w:p>
      <w:r>
        <w:rPr>
          <w:rFonts w:ascii="Calibri" w:hAnsi="Calibri"/>
          <w:i/>
          <w:color w:val="666666"/>
          <w:sz w:val="20"/>
        </w:rPr>
        <w:t>Write a data-driven narrative that would persuade a skeptical executive. Structure it however you think is most effective, and explain your structural choices.</w:t>
      </w:r>
    </w:p>
    <w:p>
      <w:r>
        <w:rPr>
          <w:b/>
        </w:rPr>
        <w:t/>
      </w:r>
    </w:p>
    <w:p>
      <w:r>
        <w:rPr>
          <w:rFonts w:ascii="Calibri" w:hAnsi="Calibri"/>
          <w:i/>
          <w:color w:val="666666"/>
          <w:sz w:val="20"/>
        </w:rPr>
        <w:t/>
      </w:r>
    </w:p>
    <w:p>
      <w:r>
        <w:t>Hook: TechFlow grew Q1 revenue by 36% in 10 weeks — but the growth is concentrated in two regions and one product line.</w:t>
      </w:r>
    </w:p>
    <w:p/>
    <w:p>
      <w:r>
        <w:rPr>
          <w:b/>
        </w:rPr>
        <w:t/>
      </w:r>
    </w:p>
    <w:p>
      <w:r>
        <w:rPr>
          <w:rFonts w:ascii="Calibri" w:hAnsi="Calibri"/>
          <w:i/>
          <w:color w:val="666666"/>
          <w:sz w:val="20"/>
        </w:rPr>
        <w:t/>
      </w:r>
    </w:p>
    <w:p>
      <w:r>
        <w:t>Context: TechFlow sells Software, Cloud Services, Security, and professional Services across four US regions. Q1 2024 data covers six bi-weekly snapshots from Jan 1 through Mar 15.</w:t>
      </w:r>
    </w:p>
    <w:p/>
    <w:p>
      <w:r>
        <w:rPr>
          <w:b/>
        </w:rPr>
        <w:t/>
      </w:r>
    </w:p>
    <w:p>
      <w:r>
        <w:rPr>
          <w:rFonts w:ascii="Calibri" w:hAnsi="Calibri"/>
          <w:i/>
          <w:color w:val="666666"/>
          <w:sz w:val="20"/>
        </w:rPr>
        <w:t/>
      </w:r>
    </w:p>
    <w:p>
      <w:r>
        <w:t>Insight: The West region drives 33% of all revenue. Software alone accounts for 37% of total Q1 revenue. Security is the most underinvested category — it has a healthy margin but the lowest absolute revenue and consistent growth throughout Q1.</w:t>
      </w:r>
    </w:p>
    <w:p/>
    <w:p>
      <w:r>
        <w:rPr>
          <w:b/>
        </w:rPr>
        <w:t/>
      </w:r>
    </w:p>
    <w:p>
      <w:r>
        <w:rPr>
          <w:rFonts w:ascii="Calibri" w:hAnsi="Calibri"/>
          <w:i/>
          <w:color w:val="666666"/>
          <w:sz w:val="20"/>
        </w:rPr>
        <w:t/>
      </w:r>
    </w:p>
    <w:p>
      <w:r>
        <w:t>Implication: If the West region or Software line slows down, the whole company feels it immediately. Security represents an untapped opportunity with room to grow without sacrificing margin.</w:t>
      </w:r>
    </w:p>
    <w:p/>
    <w:p>
      <w:r>
        <w:rPr>
          <w:b/>
        </w:rPr>
        <w:t/>
      </w:r>
    </w:p>
    <w:p>
      <w:r>
        <w:rPr>
          <w:rFonts w:ascii="Calibri" w:hAnsi="Calibri"/>
          <w:i/>
          <w:color w:val="666666"/>
          <w:sz w:val="20"/>
        </w:rPr>
        <w:t/>
      </w:r>
    </w:p>
    <w:p>
      <w:r>
        <w:t>Action: (1) Increase marketing budget in the West by 10-15% to protect the revenue anchor. (2) Run a targeted Security campaign in the Northeast and Midwest where satisfaction scores are already above 4.2. (3) Investigate the Southeast Security return rate (3-4%) — it is the only category above our 2% alert threshold consistently.</w:t>
      </w:r>
    </w:p>
    <w:p/>
    <w:p>
      <w:pPr>
        <w:pStyle w:val="Heading1"/>
      </w:pPr>
      <w:r>
        <w:rPr>
          <w:rFonts w:ascii="Calibri" w:hAnsi="Calibri"/>
          <w:color w:val="334366"/>
        </w:rPr>
        <w:t>Visualization Ethics Checklist</w:t>
      </w:r>
    </w:p>
    <w:p>
      <w:r>
        <w:rPr>
          <w:rFonts w:ascii="Calibri" w:hAnsi="Calibri"/>
          <w:i/>
          <w:color w:val="666666"/>
          <w:sz w:val="20"/>
        </w:rPr>
        <w:t>Identify ways visualizations can mislead audiences. Document how you avoided them in your dashboard.</w:t>
      </w:r>
    </w:p>
    <w:p>
      <w:r>
        <w:rPr>
          <w:b/>
        </w:rPr>
        <w:t xml:space="preserve"/>
      </w:r>
      <w:r>
        <w:t/>
      </w:r>
    </w:p>
    <w:p>
      <w:r>
        <w:rPr>
          <w:b/>
        </w:rPr>
        <w:t xml:space="preserve"/>
      </w:r>
      <w:r>
        <w:t/>
      </w:r>
    </w:p>
    <w:p>
      <w:r>
        <w:rPr>
          <w:b/>
        </w:rPr>
        <w:t xml:space="preserve"/>
      </w:r>
      <w:r>
        <w:t/>
      </w:r>
    </w:p>
    <w:p>
      <w:r>
        <w:rPr>
          <w:b/>
        </w:rPr>
        <w:t xml:space="preserve"/>
      </w:r>
      <w:r>
        <w:t/>
      </w:r>
    </w:p>
    <w:p>
      <w:r>
        <w:rPr>
          <w:b/>
        </w:rPr>
        <w:t xml:space="preserve"/>
      </w:r>
      <w:r>
        <w:t/>
      </w:r>
    </w:p>
    <w:p>
      <w:r>
        <w:rPr>
          <w:b/>
        </w:rPr>
        <w:t xml:space="preserve"/>
      </w:r>
      <w:r>
        <w:t/>
      </w:r>
    </w:p>
    <w:p>
      <w:r>
        <w:rPr>
          <w:b/>
        </w:rPr>
        <w:t xml:space="preserve"/>
      </w:r>
      <w:r>
        <w:t/>
      </w:r>
    </w:p>
    <w:p/>
    <w:p>
      <w:r>
        <w:rPr>
          <w:rFonts w:ascii="Calibri" w:hAnsi="Calibri"/>
          <w:i/>
          <w:color w:val="666666"/>
          <w:sz w:val="20"/>
        </w:rPr>
        <w:t>Bad practices identified in examples (if any):</w:t>
      </w:r>
    </w:p>
    <w:p>
      <w:r>
        <w:t>Y-axis not at zero makes small changes look dramatic. 3D pie charts distort area perception. Truncated time series hides unfavorable months. Cherry-picked dates mislead on trend direction. Inconsistent scales make separate charts incomparable. In our dashboard: all axes start at zero, we used a flat 2D donut, the full Jan-Mar window is always shown, and all charts share the same date range.</w:t>
      </w:r>
    </w:p>
    <w:p/>
    <w:p>
      <w:pPr>
        <w:pStyle w:val="Heading1"/>
      </w:pPr>
      <w:r>
        <w:rPr>
          <w:rFonts w:ascii="Calibri" w:hAnsi="Calibri"/>
          <w:color w:val="334366"/>
        </w:rPr>
        <w:t>Reading Connection</w:t>
      </w:r>
    </w:p>
    <w:p>
      <w:r>
        <w:rPr>
          <w:rFonts w:ascii="Calibri" w:hAnsi="Calibri"/>
          <w:i/>
          <w:color w:val="666666"/>
          <w:sz w:val="20"/>
        </w:rPr>
        <w:t>Connect your lab findings to this week's assigned readings. Reference specific concepts, statistics, or frameworks from the reading.</w:t>
      </w:r>
    </w:p>
    <w:p>
      <w:r>
        <w:rPr>
          <w:b/>
        </w:rPr>
        <w:t xml:space="preserve">Reading Referenced: </w:t>
      </w:r>
      <w:r>
        <w:t>Week 8 Reading: Blockchain and IoT in Enterprise Systems</w:t>
      </w:r>
    </w:p>
    <w:p/>
    <w:p>
      <w:r>
        <w:rPr>
          <w:b/>
        </w:rPr>
        <w:t>Connection to Lab Work:</w:t>
      </w:r>
    </w:p>
    <w:p>
      <w:r>
        <w:t>IoT sensor data (like Lab 6 soil moisture and temperature readings) is exactly the kind of continuous stream that would feed an executive dashboard. A CEO overseeing agriculture or logistics operations does not want raw sensor logs — they want a KPI card showing what percentage of sensors are in the normal range, a trend line showing whether conditions are improving, and a return-rate-style alert when a threshold is breached. The audience design principles from this lab (simplify for executives, detail for ops) map directly onto how you would present IoT data to a board vs. a field operations team.</w:t>
      </w:r>
    </w:p>
    <w:p>
      <w:r>
        <w:t/>
      </w:r>
    </w:p>
    <w:p>
      <w:r>
        <w:t/>
      </w:r>
    </w:p>
    <w:p>
      <w:r>
        <w:t/>
      </w:r>
    </w:p>
    <w:p/>
    <w:p>
      <w:pPr>
        <w:pStyle w:val="Heading1"/>
      </w:pPr>
      <w:r>
        <w:rPr>
          <w:rFonts w:ascii="Calibri" w:hAnsi="Calibri"/>
          <w:color w:val="334366"/>
        </w:rPr>
        <w:t>Partner Reflections</w:t>
      </w:r>
    </w:p>
    <w:p>
      <w:r>
        <w:rPr>
          <w:rFonts w:ascii="Calibri" w:hAnsi="Calibri"/>
          <w:i/>
          <w:color w:val="666666"/>
          <w:sz w:val="20"/>
        </w:rPr>
        <w:t>Each partner writes 2-3 sentences reflecting on what they learned from their partner's perspective. This is individual work - do not write for your partner.</w:t>
      </w:r>
    </w:p>
    <w:p>
      <w:r>
        <w:rPr>
          <w:b/>
          <w:color w:val="2E7D32"/>
        </w:rPr>
        <w:t>CS Lead Reflection:</w:t>
      </w:r>
    </w:p>
    <w:p>
      <w:r>
        <w:rPr>
          <w:rFonts w:ascii="Calibri" w:hAnsi="Calibri"/>
          <w:i/>
          <w:color w:val="666666"/>
          <w:sz w:val="20"/>
        </w:rPr>
        <w:t>What I learned from my Business partner:</w:t>
      </w:r>
    </w:p>
    <w:p>
      <w:r>
        <w:t>My business partner pushed back hard on how much data I wanted to show on the executive tab. My instinct as someone who builds systems is to expose everything. They made the point that if a CEO has to think for more than 5 seconds, you have already lost them. That changed how I designed the KPI cards — I stopped trying to show the full picture and started asking what the single most important number is for each metric. I ended up cutting three charts from the executive view that I originally thought were essential. They made the operations tab much stronger as a result.</w:t>
      </w:r>
    </w:p>
    <w:p>
      <w:r>
        <w:t/>
      </w:r>
    </w:p>
    <w:p>
      <w:r>
        <w:t/>
      </w:r>
    </w:p>
    <w:p/>
    <w:p>
      <w:r>
        <w:rPr>
          <w:b/>
          <w:color w:val="1565C0"/>
        </w:rPr>
        <w:t>Business Lead Reflection:</w:t>
      </w:r>
    </w:p>
    <w:p>
      <w:r>
        <w:rPr>
          <w:rFonts w:ascii="Calibri" w:hAnsi="Calibri"/>
          <w:i/>
          <w:color w:val="666666"/>
          <w:sz w:val="20"/>
        </w:rPr>
        <w:t>What I learned from my CS partner:</w:t>
      </w:r>
    </w:p>
    <w:p>
      <w:r>
        <w:t>I had not thought about how much the technical implementation choices affect usability. My CS partner explained that adding an interactive filter re-renders every chart dynamically, which sounds obvious but I had been thinking of filters as a static design element. Seeing how the region filter in the notebook instantly changes all charts made me realize why interactive dashboards are so much more valuable than a static slide deck for presentations. I would have designed something much less useful working alone.</w:t>
      </w:r>
    </w:p>
    <w:p>
      <w:r>
        <w:t/>
      </w:r>
    </w:p>
    <w:p>
      <w:r>
        <w:t/>
      </w:r>
    </w:p>
    <w:p/>
    <w:p>
      <w:pPr>
        <w:pStyle w:val="Heading1"/>
      </w:pPr>
      <w:r>
        <w:rPr>
          <w:rFonts w:ascii="Calibri" w:hAnsi="Calibri"/>
          <w:color w:val="334366"/>
        </w:rPr>
        <w:t>Submission Checklist</w:t>
      </w:r>
    </w:p>
    <w:p>
      <w:r>
        <w:rPr>
          <w:rFonts w:ascii="Calibri" w:hAnsi="Calibri"/>
          <w:i/>
          <w:color w:val="666666"/>
          <w:sz w:val="20"/>
        </w:rPr>
        <w:t>Before submitting, verify all items are complete:</w:t>
      </w:r>
    </w:p>
    <w:p>
      <w:r>
        <w:rPr>
          <w:b/>
        </w:rPr>
        <w:t xml:space="preserve">[ ] </w:t>
      </w:r>
      <w:r>
        <w:t>Both partner names included</w:t>
      </w:r>
    </w:p>
    <w:p>
      <w:r>
        <w:rPr>
          <w:b/>
        </w:rPr>
        <w:t xml:space="preserve">[ ] </w:t>
      </w:r>
      <w:r>
        <w:t>All required sections completed</w:t>
      </w:r>
    </w:p>
    <w:p>
      <w:r>
        <w:rPr>
          <w:b/>
        </w:rPr>
        <w:t xml:space="preserve">[ ] </w:t>
      </w:r>
      <w:r>
        <w:t>Business interpretation provided for all findings</w:t>
      </w:r>
    </w:p>
    <w:p>
      <w:r>
        <w:rPr>
          <w:b/>
        </w:rPr>
        <w:t xml:space="preserve">[ ] </w:t>
      </w:r>
      <w:r>
        <w:t>Reading connection addresses assigned reading</w:t>
      </w:r>
    </w:p>
    <w:p>
      <w:r>
        <w:rPr>
          <w:b/>
        </w:rPr>
        <w:t xml:space="preserve">[ ] </w:t>
      </w:r>
      <w:r>
        <w:t>Partner reflections written individually (not jointly)</w:t>
      </w:r>
    </w:p>
    <w:p>
      <w:r>
        <w:rPr>
          <w:b/>
        </w:rPr>
        <w:t xml:space="preserve">[ ] </w:t>
      </w:r>
      <w:r>
        <w:t>Document exported as PDF for submission</w:t>
      </w:r>
    </w:p>
    <w:p/>
    <w:p>
      <w:r>
        <w:rPr>
          <w:b/>
        </w:rPr>
        <w:t>Lab-Specific Requirements:</w:t>
      </w:r>
    </w:p>
    <w:p>
      <w:r>
        <w:rPr>
          <w:b/>
        </w:rPr>
        <w:t xml:space="preserve">[ ] </w:t>
      </w:r>
      <w:r>
        <w:t>Dashboard link is accessible and working</w:t>
      </w:r>
    </w:p>
    <w:p>
      <w:r>
        <w:rPr>
          <w:b/>
        </w:rPr>
        <w:t xml:space="preserve">[ ] Dashboard demonstrates thoughtful chart type selection</w:t>
      </w:r>
      <w:r>
        <w:t/>
      </w:r>
    </w:p>
    <w:p>
      <w:r>
        <w:rPr>
          <w:b/>
        </w:rPr>
        <w:t xml:space="preserve">[ ] Design rationale explains key choices</w:t>
      </w:r>
      <w:r>
        <w:t/>
      </w:r>
    </w:p>
    <w:p>
      <w:r>
        <w:rPr>
          <w:b/>
        </w:rPr>
        <w:t xml:space="preserve"/>
      </w:r>
      <w:r>
        <w:t/>
      </w:r>
    </w:p>
    <w:p>
      <w:r>
        <w:rPr>
          <w:b/>
        </w:rPr>
        <w:t xml:space="preserve">[ ] Data narrative with structural rationale</w:t>
      </w:r>
      <w:r>
        <w:t/>
      </w:r>
    </w:p>
    <w:p>
      <w:r>
        <w:rPr>
          <w:b/>
        </w:rPr>
        <w:t xml:space="preserve">[ ] </w:t>
      </w:r>
      <w:r>
        <w:t>Ethics checklist completed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