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4C8C" w:rsidRPr="00AF1D74" w:rsidRDefault="001851FD" w:rsidP="00AF1D74">
      <w:pPr>
        <w:pBdr>
          <w:bottom w:val="double" w:sz="6" w:space="1" w:color="auto"/>
        </w:pBdr>
        <w:spacing w:after="0" w:line="240" w:lineRule="auto"/>
        <w:rPr>
          <w:sz w:val="24"/>
          <w:szCs w:val="24"/>
        </w:rPr>
      </w:pPr>
    </w:p>
    <w:p w:rsidR="00AF1D74" w:rsidRDefault="00AF1D74" w:rsidP="00AF1D74">
      <w:pPr>
        <w:spacing w:after="0" w:line="240" w:lineRule="auto"/>
        <w:rPr>
          <w:sz w:val="24"/>
          <w:szCs w:val="24"/>
        </w:rPr>
      </w:pPr>
    </w:p>
    <w:p w:rsidR="00AF1D74" w:rsidRPr="00AF1D74" w:rsidRDefault="00AF1D74" w:rsidP="00AF1D74">
      <w:pPr>
        <w:pBdr>
          <w:bottom w:val="single" w:sz="6" w:space="1" w:color="auto"/>
        </w:pBdr>
        <w:spacing w:after="0" w:line="240" w:lineRule="auto"/>
        <w:jc w:val="center"/>
        <w:rPr>
          <w:rFonts w:ascii="Garamond-Bold" w:hAnsi="Garamond-Bold" w:cs="Garamond-Bold"/>
          <w:b/>
          <w:bCs/>
          <w:sz w:val="28"/>
          <w:szCs w:val="28"/>
        </w:rPr>
      </w:pPr>
      <w:r w:rsidRPr="00AF1D74">
        <w:rPr>
          <w:rFonts w:ascii="Garamond-Bold" w:hAnsi="Garamond-Bold" w:cs="Garamond-Bold"/>
          <w:b/>
          <w:bCs/>
          <w:sz w:val="28"/>
          <w:szCs w:val="28"/>
        </w:rPr>
        <w:t>INTEROFFICE MEMORANDUM</w:t>
      </w:r>
    </w:p>
    <w:p w:rsidR="00AF1D74" w:rsidRDefault="00AF1D74" w:rsidP="00AF1D74">
      <w:pPr>
        <w:pBdr>
          <w:bottom w:val="single" w:sz="6" w:space="1" w:color="auto"/>
        </w:pBdr>
        <w:spacing w:after="0" w:line="240" w:lineRule="auto"/>
        <w:jc w:val="center"/>
        <w:rPr>
          <w:rFonts w:ascii="Garamond-Bold" w:hAnsi="Garamond-Bold" w:cs="Garamond-Bold"/>
          <w:b/>
          <w:bCs/>
          <w:sz w:val="20"/>
          <w:szCs w:val="20"/>
        </w:rPr>
      </w:pPr>
    </w:p>
    <w:p w:rsidR="00AF1D74" w:rsidRDefault="00AF1D74" w:rsidP="00AF1D74">
      <w:pPr>
        <w:spacing w:after="0" w:line="240" w:lineRule="auto"/>
        <w:jc w:val="center"/>
        <w:rPr>
          <w:sz w:val="24"/>
          <w:szCs w:val="24"/>
        </w:rPr>
      </w:pPr>
    </w:p>
    <w:p w:rsidR="00AF1D74" w:rsidRDefault="00AF1D74" w:rsidP="00AF1D74">
      <w:pPr>
        <w:spacing w:after="0" w:line="360" w:lineRule="auto"/>
        <w:rPr>
          <w:sz w:val="24"/>
          <w:szCs w:val="24"/>
        </w:rPr>
      </w:pPr>
      <w:r>
        <w:rPr>
          <w:sz w:val="24"/>
          <w:szCs w:val="24"/>
        </w:rPr>
        <w:t xml:space="preserve">TO: </w:t>
      </w:r>
      <w:r w:rsidRPr="00AF1D74">
        <w:rPr>
          <w:sz w:val="24"/>
          <w:szCs w:val="24"/>
        </w:rPr>
        <w:t>CEO of General Casualty Kansas City (GCKC)</w:t>
      </w:r>
    </w:p>
    <w:p w:rsidR="00AF1D74" w:rsidRDefault="00AF1D74" w:rsidP="00AF1D74">
      <w:pPr>
        <w:spacing w:after="0" w:line="360" w:lineRule="auto"/>
        <w:rPr>
          <w:sz w:val="24"/>
          <w:szCs w:val="24"/>
        </w:rPr>
      </w:pPr>
      <w:r>
        <w:rPr>
          <w:sz w:val="24"/>
          <w:szCs w:val="24"/>
        </w:rPr>
        <w:t>FROM: Tyler Conrad</w:t>
      </w:r>
      <w:r>
        <w:rPr>
          <w:sz w:val="24"/>
          <w:szCs w:val="24"/>
        </w:rPr>
        <w:tab/>
      </w:r>
    </w:p>
    <w:p w:rsidR="00AF1D74" w:rsidRDefault="00AF1D74" w:rsidP="00AF1D74">
      <w:pPr>
        <w:spacing w:after="0" w:line="360" w:lineRule="auto"/>
        <w:rPr>
          <w:sz w:val="24"/>
          <w:szCs w:val="24"/>
        </w:rPr>
      </w:pPr>
      <w:r>
        <w:rPr>
          <w:sz w:val="24"/>
          <w:szCs w:val="24"/>
        </w:rPr>
        <w:t>SUBJECT: Possible Coverage Expansion Analysis</w:t>
      </w:r>
    </w:p>
    <w:p w:rsidR="00AF1D74" w:rsidRDefault="00AF1D74" w:rsidP="00AF1D74">
      <w:pPr>
        <w:pBdr>
          <w:bottom w:val="single" w:sz="6" w:space="1" w:color="auto"/>
        </w:pBdr>
        <w:spacing w:after="0" w:line="360" w:lineRule="auto"/>
        <w:rPr>
          <w:sz w:val="24"/>
          <w:szCs w:val="24"/>
        </w:rPr>
      </w:pPr>
      <w:r>
        <w:rPr>
          <w:sz w:val="24"/>
          <w:szCs w:val="24"/>
        </w:rPr>
        <w:t>DATE: November 5</w:t>
      </w:r>
      <w:r w:rsidRPr="00AF1D74">
        <w:rPr>
          <w:sz w:val="24"/>
          <w:szCs w:val="24"/>
          <w:vertAlign w:val="superscript"/>
        </w:rPr>
        <w:t>th</w:t>
      </w:r>
      <w:r>
        <w:rPr>
          <w:sz w:val="24"/>
          <w:szCs w:val="24"/>
        </w:rPr>
        <w:t>, 2017</w:t>
      </w:r>
    </w:p>
    <w:p w:rsidR="00AF1D74" w:rsidRDefault="00AF1D74" w:rsidP="00AF1D74">
      <w:pPr>
        <w:spacing w:after="0" w:line="240" w:lineRule="auto"/>
        <w:rPr>
          <w:sz w:val="24"/>
          <w:szCs w:val="24"/>
        </w:rPr>
      </w:pPr>
    </w:p>
    <w:p w:rsidR="00245787" w:rsidRPr="00245787" w:rsidRDefault="00B25798" w:rsidP="00B25798">
      <w:pPr>
        <w:spacing w:after="0" w:line="240" w:lineRule="auto"/>
        <w:rPr>
          <w:b/>
          <w:sz w:val="24"/>
          <w:szCs w:val="24"/>
        </w:rPr>
      </w:pPr>
      <w:r w:rsidRPr="00245787">
        <w:rPr>
          <w:b/>
          <w:sz w:val="24"/>
          <w:szCs w:val="24"/>
        </w:rPr>
        <w:t xml:space="preserve">Abstract: </w:t>
      </w:r>
    </w:p>
    <w:p w:rsidR="00B25798" w:rsidRDefault="00B25798" w:rsidP="00B25798">
      <w:pPr>
        <w:spacing w:after="0" w:line="240" w:lineRule="auto"/>
        <w:rPr>
          <w:sz w:val="24"/>
          <w:szCs w:val="24"/>
        </w:rPr>
      </w:pPr>
      <w:r>
        <w:rPr>
          <w:sz w:val="24"/>
          <w:szCs w:val="24"/>
        </w:rPr>
        <w:t xml:space="preserve">Do we have enough information about crashes to be able to accurately predict where we should expand coverage in order to maximize our profits?  Using the information collected from law enforcement </w:t>
      </w:r>
      <w:r w:rsidR="00FD1AAF">
        <w:rPr>
          <w:sz w:val="24"/>
          <w:szCs w:val="24"/>
        </w:rPr>
        <w:t xml:space="preserve">on fatal accidents </w:t>
      </w:r>
      <w:r>
        <w:rPr>
          <w:sz w:val="24"/>
          <w:szCs w:val="24"/>
        </w:rPr>
        <w:t>will allow us to develop a methodology to prioritize our expansion into new regions to maximize our profits.  From t</w:t>
      </w:r>
      <w:r w:rsidR="00FD1AAF">
        <w:rPr>
          <w:sz w:val="24"/>
          <w:szCs w:val="24"/>
        </w:rPr>
        <w:t>he clustering model, we can increase the likelihood of our company’s success.</w:t>
      </w:r>
    </w:p>
    <w:p w:rsidR="00FD1AAF" w:rsidRDefault="00FD1AAF" w:rsidP="00B25798">
      <w:pPr>
        <w:pBdr>
          <w:bottom w:val="single" w:sz="6" w:space="1" w:color="auto"/>
        </w:pBdr>
        <w:spacing w:after="0" w:line="240" w:lineRule="auto"/>
        <w:rPr>
          <w:sz w:val="24"/>
          <w:szCs w:val="24"/>
        </w:rPr>
      </w:pPr>
    </w:p>
    <w:p w:rsidR="00FD1AAF" w:rsidRDefault="00FD1AAF" w:rsidP="00B25798">
      <w:pPr>
        <w:spacing w:after="0" w:line="240" w:lineRule="auto"/>
        <w:rPr>
          <w:sz w:val="24"/>
          <w:szCs w:val="24"/>
        </w:rPr>
      </w:pPr>
    </w:p>
    <w:p w:rsidR="00245787" w:rsidRPr="00245787" w:rsidRDefault="00FD1AAF" w:rsidP="00AF1D74">
      <w:pPr>
        <w:spacing w:after="0" w:line="240" w:lineRule="auto"/>
        <w:rPr>
          <w:b/>
          <w:sz w:val="24"/>
          <w:szCs w:val="24"/>
        </w:rPr>
      </w:pPr>
      <w:r w:rsidRPr="00245787">
        <w:rPr>
          <w:b/>
          <w:sz w:val="24"/>
          <w:szCs w:val="24"/>
        </w:rPr>
        <w:t xml:space="preserve">Key Takeaways:  </w:t>
      </w:r>
    </w:p>
    <w:p w:rsidR="00B25798" w:rsidRDefault="00FD1AAF" w:rsidP="00AF1D74">
      <w:pPr>
        <w:spacing w:after="0" w:line="240" w:lineRule="auto"/>
        <w:rPr>
          <w:sz w:val="24"/>
          <w:szCs w:val="24"/>
        </w:rPr>
      </w:pPr>
      <w:r>
        <w:rPr>
          <w:sz w:val="24"/>
          <w:szCs w:val="24"/>
        </w:rPr>
        <w:t>Over the course of the last several years our company, General Casualty Kansas City, has started the process of seeking approval for expansion into new regions.  However, it is believed that we will only be allowed to initially expand into one new census region.  This report aims to provide guidance based on data from 2011 provided by law enforcement agencies on fatal crashes to facilitate prioritizing which regions to expand our coverage into first.  The key takeaways from our analysis are shown below.</w:t>
      </w:r>
    </w:p>
    <w:p w:rsidR="00FD1AAF" w:rsidRDefault="00FD1AAF" w:rsidP="00AF1D74">
      <w:pPr>
        <w:spacing w:after="0" w:line="240" w:lineRule="auto"/>
        <w:rPr>
          <w:sz w:val="24"/>
          <w:szCs w:val="24"/>
        </w:rPr>
      </w:pPr>
    </w:p>
    <w:p w:rsidR="00FD1AAF" w:rsidRDefault="00FD1AAF" w:rsidP="00FD1AAF">
      <w:pPr>
        <w:pStyle w:val="ListParagraph"/>
        <w:numPr>
          <w:ilvl w:val="0"/>
          <w:numId w:val="2"/>
        </w:numPr>
      </w:pPr>
      <w:r>
        <w:t>There are six key segments within our fatal crash data.</w:t>
      </w:r>
    </w:p>
    <w:p w:rsidR="00FD1AAF" w:rsidRDefault="00FD1AAF" w:rsidP="00FD1AAF">
      <w:pPr>
        <w:pStyle w:val="ListParagraph"/>
        <w:numPr>
          <w:ilvl w:val="0"/>
          <w:numId w:val="2"/>
        </w:numPr>
      </w:pPr>
      <w:r>
        <w:t>Each key segment has some defining characteristics.</w:t>
      </w:r>
    </w:p>
    <w:p w:rsidR="00FD1AAF" w:rsidRDefault="00FD1AAF" w:rsidP="00FD1AAF">
      <w:pPr>
        <w:pStyle w:val="ListParagraph"/>
        <w:numPr>
          <w:ilvl w:val="0"/>
          <w:numId w:val="2"/>
        </w:numPr>
      </w:pPr>
      <w:r>
        <w:t>Each key segment also overlaps some characteristics with other key segments.</w:t>
      </w:r>
    </w:p>
    <w:p w:rsidR="00FD1AAF" w:rsidRDefault="00245787" w:rsidP="00FD1AAF">
      <w:pPr>
        <w:pStyle w:val="ListParagraph"/>
        <w:numPr>
          <w:ilvl w:val="0"/>
          <w:numId w:val="2"/>
        </w:numPr>
      </w:pPr>
      <w:r>
        <w:t>Certain regions consistently have higher fatal crash rates than other regions.</w:t>
      </w:r>
    </w:p>
    <w:p w:rsidR="00245787" w:rsidRDefault="00245787" w:rsidP="00245787"/>
    <w:p w:rsidR="00245787" w:rsidRDefault="00245787" w:rsidP="00245787">
      <w:pPr>
        <w:spacing w:after="0" w:line="240" w:lineRule="auto"/>
        <w:rPr>
          <w:b/>
          <w:sz w:val="24"/>
          <w:szCs w:val="24"/>
        </w:rPr>
      </w:pPr>
      <w:r w:rsidRPr="00245787">
        <w:rPr>
          <w:b/>
          <w:sz w:val="24"/>
          <w:szCs w:val="24"/>
        </w:rPr>
        <w:t>Analysis Summary:</w:t>
      </w:r>
    </w:p>
    <w:p w:rsidR="006E0A04" w:rsidRDefault="006E0A04" w:rsidP="00245787">
      <w:pPr>
        <w:spacing w:after="0" w:line="240" w:lineRule="auto"/>
        <w:rPr>
          <w:sz w:val="24"/>
          <w:szCs w:val="24"/>
        </w:rPr>
      </w:pPr>
      <w:r>
        <w:rPr>
          <w:sz w:val="24"/>
          <w:szCs w:val="24"/>
        </w:rPr>
        <w:t xml:space="preserve">To answer the business question of how to prioritize region expansion of our company, data from 2011 provided by law enforcement agencies was used.  </w:t>
      </w:r>
      <w:r w:rsidRPr="006E0A04">
        <w:rPr>
          <w:sz w:val="24"/>
          <w:szCs w:val="24"/>
        </w:rPr>
        <w:t>The data had records from all across the United States.  The data did require some preparation before any analysis could be performed.  This preparation consisted of removing un-necessary information, filling in missing information, and organizing the data.</w:t>
      </w:r>
      <w:r w:rsidR="008B77A1">
        <w:rPr>
          <w:sz w:val="24"/>
          <w:szCs w:val="24"/>
        </w:rPr>
        <w:t xml:space="preserve">  Once the data was prepared, clustering analysis was performed to find any commonalities between groupings of characteristics.  Several different models with different numbers of clusters were analyzed.  In the end, it was found that there were six distinct clusters of fatal accidents.   These clusters with three of their key characteristics are shown below.</w:t>
      </w:r>
    </w:p>
    <w:p w:rsidR="008B77A1" w:rsidRDefault="008B77A1" w:rsidP="00245787">
      <w:pPr>
        <w:spacing w:after="0" w:line="240" w:lineRule="auto"/>
        <w:rPr>
          <w:sz w:val="24"/>
          <w:szCs w:val="24"/>
        </w:rPr>
      </w:pPr>
    </w:p>
    <w:tbl>
      <w:tblPr>
        <w:tblStyle w:val="TableGrid"/>
        <w:tblW w:w="0" w:type="auto"/>
        <w:tblLook w:val="04A0" w:firstRow="1" w:lastRow="0" w:firstColumn="1" w:lastColumn="0" w:noHBand="0" w:noVBand="1"/>
      </w:tblPr>
      <w:tblGrid>
        <w:gridCol w:w="1165"/>
        <w:gridCol w:w="2700"/>
        <w:gridCol w:w="2790"/>
        <w:gridCol w:w="2695"/>
      </w:tblGrid>
      <w:tr w:rsidR="008B77A1" w:rsidTr="001851FD">
        <w:tc>
          <w:tcPr>
            <w:tcW w:w="1165" w:type="dxa"/>
            <w:shd w:val="clear" w:color="auto" w:fill="9CC2E5" w:themeFill="accent1" w:themeFillTint="99"/>
            <w:vAlign w:val="center"/>
          </w:tcPr>
          <w:p w:rsidR="008B77A1" w:rsidRDefault="008B77A1" w:rsidP="001851FD">
            <w:pPr>
              <w:jc w:val="center"/>
              <w:rPr>
                <w:b/>
                <w:sz w:val="24"/>
                <w:szCs w:val="24"/>
              </w:rPr>
            </w:pPr>
            <w:r w:rsidRPr="00126E7B">
              <w:rPr>
                <w:b/>
                <w:sz w:val="24"/>
                <w:szCs w:val="24"/>
              </w:rPr>
              <w:t>Group ID</w:t>
            </w:r>
          </w:p>
          <w:p w:rsidR="00F74A5E" w:rsidRPr="00126E7B" w:rsidRDefault="00F74A5E" w:rsidP="001851FD">
            <w:pPr>
              <w:jc w:val="center"/>
              <w:rPr>
                <w:b/>
                <w:sz w:val="24"/>
                <w:szCs w:val="24"/>
              </w:rPr>
            </w:pPr>
            <w:r>
              <w:rPr>
                <w:b/>
                <w:sz w:val="24"/>
                <w:szCs w:val="24"/>
              </w:rPr>
              <w:t>(Count)</w:t>
            </w:r>
          </w:p>
        </w:tc>
        <w:tc>
          <w:tcPr>
            <w:tcW w:w="2700" w:type="dxa"/>
            <w:shd w:val="clear" w:color="auto" w:fill="9CC2E5" w:themeFill="accent1" w:themeFillTint="99"/>
            <w:vAlign w:val="center"/>
          </w:tcPr>
          <w:p w:rsidR="008B77A1" w:rsidRPr="00126E7B" w:rsidRDefault="008B77A1" w:rsidP="001851FD">
            <w:pPr>
              <w:jc w:val="center"/>
              <w:rPr>
                <w:b/>
                <w:sz w:val="24"/>
                <w:szCs w:val="24"/>
              </w:rPr>
            </w:pPr>
            <w:r w:rsidRPr="00126E7B">
              <w:rPr>
                <w:b/>
                <w:sz w:val="24"/>
                <w:szCs w:val="24"/>
              </w:rPr>
              <w:t>Key Characteristic #1</w:t>
            </w:r>
          </w:p>
        </w:tc>
        <w:tc>
          <w:tcPr>
            <w:tcW w:w="2790" w:type="dxa"/>
            <w:shd w:val="clear" w:color="auto" w:fill="9CC2E5" w:themeFill="accent1" w:themeFillTint="99"/>
            <w:vAlign w:val="center"/>
          </w:tcPr>
          <w:p w:rsidR="008B77A1" w:rsidRPr="00126E7B" w:rsidRDefault="008B77A1" w:rsidP="001851FD">
            <w:pPr>
              <w:jc w:val="center"/>
              <w:rPr>
                <w:b/>
                <w:sz w:val="24"/>
                <w:szCs w:val="24"/>
              </w:rPr>
            </w:pPr>
            <w:r w:rsidRPr="00126E7B">
              <w:rPr>
                <w:b/>
                <w:sz w:val="24"/>
                <w:szCs w:val="24"/>
              </w:rPr>
              <w:t>Key Characteristic</w:t>
            </w:r>
            <w:r w:rsidRPr="00126E7B">
              <w:rPr>
                <w:b/>
                <w:sz w:val="24"/>
                <w:szCs w:val="24"/>
              </w:rPr>
              <w:t xml:space="preserve"> #2</w:t>
            </w:r>
          </w:p>
        </w:tc>
        <w:tc>
          <w:tcPr>
            <w:tcW w:w="2695" w:type="dxa"/>
            <w:shd w:val="clear" w:color="auto" w:fill="9CC2E5" w:themeFill="accent1" w:themeFillTint="99"/>
            <w:vAlign w:val="center"/>
          </w:tcPr>
          <w:p w:rsidR="008B77A1" w:rsidRPr="00126E7B" w:rsidRDefault="008B77A1" w:rsidP="001851FD">
            <w:pPr>
              <w:jc w:val="center"/>
              <w:rPr>
                <w:b/>
                <w:sz w:val="24"/>
                <w:szCs w:val="24"/>
              </w:rPr>
            </w:pPr>
            <w:r w:rsidRPr="00126E7B">
              <w:rPr>
                <w:b/>
                <w:sz w:val="24"/>
                <w:szCs w:val="24"/>
              </w:rPr>
              <w:t>Key Characteristic</w:t>
            </w:r>
            <w:r w:rsidRPr="00126E7B">
              <w:rPr>
                <w:b/>
                <w:sz w:val="24"/>
                <w:szCs w:val="24"/>
              </w:rPr>
              <w:t xml:space="preserve"> #3</w:t>
            </w:r>
          </w:p>
        </w:tc>
      </w:tr>
      <w:tr w:rsidR="008B77A1" w:rsidTr="001851FD">
        <w:trPr>
          <w:trHeight w:val="575"/>
        </w:trPr>
        <w:tc>
          <w:tcPr>
            <w:tcW w:w="1165" w:type="dxa"/>
            <w:shd w:val="clear" w:color="auto" w:fill="9CC2E5" w:themeFill="accent1" w:themeFillTint="99"/>
            <w:vAlign w:val="center"/>
          </w:tcPr>
          <w:p w:rsidR="008B77A1" w:rsidRDefault="008B77A1" w:rsidP="001851FD">
            <w:pPr>
              <w:jc w:val="center"/>
              <w:rPr>
                <w:sz w:val="24"/>
                <w:szCs w:val="24"/>
              </w:rPr>
            </w:pPr>
            <w:r>
              <w:rPr>
                <w:sz w:val="24"/>
                <w:szCs w:val="24"/>
              </w:rPr>
              <w:t>Group 1</w:t>
            </w:r>
          </w:p>
          <w:p w:rsidR="00F74A5E" w:rsidRDefault="00F74A5E" w:rsidP="001851FD">
            <w:pPr>
              <w:jc w:val="center"/>
              <w:rPr>
                <w:sz w:val="24"/>
                <w:szCs w:val="24"/>
              </w:rPr>
            </w:pPr>
            <w:r>
              <w:rPr>
                <w:sz w:val="24"/>
                <w:szCs w:val="24"/>
              </w:rPr>
              <w:t>(169)</w:t>
            </w:r>
          </w:p>
        </w:tc>
        <w:tc>
          <w:tcPr>
            <w:tcW w:w="2700" w:type="dxa"/>
            <w:vAlign w:val="center"/>
          </w:tcPr>
          <w:p w:rsidR="008B77A1" w:rsidRPr="001851FD" w:rsidRDefault="009861B3" w:rsidP="001851FD">
            <w:pPr>
              <w:jc w:val="center"/>
              <w:rPr>
                <w:sz w:val="24"/>
                <w:szCs w:val="24"/>
              </w:rPr>
            </w:pPr>
            <w:r w:rsidRPr="009861B3">
              <w:rPr>
                <w:sz w:val="24"/>
                <w:szCs w:val="24"/>
              </w:rPr>
              <w:t>Rural-Major Collector</w:t>
            </w:r>
          </w:p>
        </w:tc>
        <w:tc>
          <w:tcPr>
            <w:tcW w:w="2790" w:type="dxa"/>
            <w:vAlign w:val="center"/>
          </w:tcPr>
          <w:p w:rsidR="008B77A1" w:rsidRDefault="00506AE4" w:rsidP="001851FD">
            <w:pPr>
              <w:jc w:val="center"/>
              <w:rPr>
                <w:sz w:val="24"/>
                <w:szCs w:val="24"/>
              </w:rPr>
            </w:pPr>
            <w:r>
              <w:rPr>
                <w:sz w:val="24"/>
                <w:szCs w:val="24"/>
              </w:rPr>
              <w:t>Ages 16-23</w:t>
            </w:r>
          </w:p>
        </w:tc>
        <w:tc>
          <w:tcPr>
            <w:tcW w:w="2695" w:type="dxa"/>
            <w:vAlign w:val="center"/>
          </w:tcPr>
          <w:p w:rsidR="008B77A1" w:rsidRDefault="00506AE4" w:rsidP="001851FD">
            <w:pPr>
              <w:jc w:val="center"/>
              <w:rPr>
                <w:sz w:val="24"/>
                <w:szCs w:val="24"/>
              </w:rPr>
            </w:pPr>
            <w:r>
              <w:rPr>
                <w:sz w:val="24"/>
                <w:szCs w:val="24"/>
              </w:rPr>
              <w:t>South</w:t>
            </w:r>
          </w:p>
        </w:tc>
      </w:tr>
      <w:tr w:rsidR="008B77A1" w:rsidTr="001851FD">
        <w:trPr>
          <w:trHeight w:val="530"/>
        </w:trPr>
        <w:tc>
          <w:tcPr>
            <w:tcW w:w="1165" w:type="dxa"/>
            <w:shd w:val="clear" w:color="auto" w:fill="9CC2E5" w:themeFill="accent1" w:themeFillTint="99"/>
            <w:vAlign w:val="center"/>
          </w:tcPr>
          <w:p w:rsidR="008B77A1" w:rsidRDefault="008B77A1" w:rsidP="001851FD">
            <w:pPr>
              <w:jc w:val="center"/>
              <w:rPr>
                <w:sz w:val="24"/>
                <w:szCs w:val="24"/>
              </w:rPr>
            </w:pPr>
            <w:r>
              <w:rPr>
                <w:sz w:val="24"/>
                <w:szCs w:val="24"/>
              </w:rPr>
              <w:t>Group 2</w:t>
            </w:r>
          </w:p>
          <w:p w:rsidR="00F74A5E" w:rsidRDefault="00F74A5E" w:rsidP="001851FD">
            <w:pPr>
              <w:jc w:val="center"/>
              <w:rPr>
                <w:sz w:val="24"/>
                <w:szCs w:val="24"/>
              </w:rPr>
            </w:pPr>
            <w:r>
              <w:rPr>
                <w:sz w:val="24"/>
                <w:szCs w:val="24"/>
              </w:rPr>
              <w:t>(1178)</w:t>
            </w:r>
          </w:p>
        </w:tc>
        <w:tc>
          <w:tcPr>
            <w:tcW w:w="2700" w:type="dxa"/>
            <w:vAlign w:val="center"/>
          </w:tcPr>
          <w:p w:rsidR="008B77A1" w:rsidRDefault="00506AE4" w:rsidP="001851FD">
            <w:pPr>
              <w:jc w:val="center"/>
              <w:rPr>
                <w:sz w:val="24"/>
                <w:szCs w:val="24"/>
              </w:rPr>
            </w:pPr>
            <w:r>
              <w:rPr>
                <w:sz w:val="24"/>
                <w:szCs w:val="24"/>
              </w:rPr>
              <w:t>No Alcohol Involved</w:t>
            </w:r>
          </w:p>
        </w:tc>
        <w:tc>
          <w:tcPr>
            <w:tcW w:w="2790" w:type="dxa"/>
            <w:vAlign w:val="center"/>
          </w:tcPr>
          <w:p w:rsidR="008B77A1" w:rsidRDefault="00506AE4" w:rsidP="001851FD">
            <w:pPr>
              <w:jc w:val="center"/>
              <w:rPr>
                <w:sz w:val="24"/>
                <w:szCs w:val="24"/>
              </w:rPr>
            </w:pPr>
            <w:r>
              <w:rPr>
                <w:sz w:val="24"/>
                <w:szCs w:val="24"/>
              </w:rPr>
              <w:t>Male Driver</w:t>
            </w:r>
          </w:p>
        </w:tc>
        <w:tc>
          <w:tcPr>
            <w:tcW w:w="2695" w:type="dxa"/>
            <w:vAlign w:val="center"/>
          </w:tcPr>
          <w:p w:rsidR="008B77A1" w:rsidRDefault="00506AE4" w:rsidP="001851FD">
            <w:pPr>
              <w:jc w:val="center"/>
              <w:rPr>
                <w:sz w:val="24"/>
                <w:szCs w:val="24"/>
              </w:rPr>
            </w:pPr>
            <w:r>
              <w:rPr>
                <w:sz w:val="24"/>
                <w:szCs w:val="24"/>
              </w:rPr>
              <w:t>South</w:t>
            </w:r>
          </w:p>
        </w:tc>
      </w:tr>
      <w:tr w:rsidR="008B77A1" w:rsidTr="001851FD">
        <w:trPr>
          <w:trHeight w:val="521"/>
        </w:trPr>
        <w:tc>
          <w:tcPr>
            <w:tcW w:w="1165" w:type="dxa"/>
            <w:shd w:val="clear" w:color="auto" w:fill="9CC2E5" w:themeFill="accent1" w:themeFillTint="99"/>
            <w:vAlign w:val="center"/>
          </w:tcPr>
          <w:p w:rsidR="008B77A1" w:rsidRDefault="008B77A1" w:rsidP="001851FD">
            <w:pPr>
              <w:jc w:val="center"/>
              <w:rPr>
                <w:sz w:val="24"/>
                <w:szCs w:val="24"/>
              </w:rPr>
            </w:pPr>
            <w:r>
              <w:rPr>
                <w:sz w:val="24"/>
                <w:szCs w:val="24"/>
              </w:rPr>
              <w:t>Group 3</w:t>
            </w:r>
          </w:p>
          <w:p w:rsidR="00F74A5E" w:rsidRDefault="00F74A5E" w:rsidP="001851FD">
            <w:pPr>
              <w:jc w:val="center"/>
              <w:rPr>
                <w:sz w:val="24"/>
                <w:szCs w:val="24"/>
              </w:rPr>
            </w:pPr>
            <w:r>
              <w:rPr>
                <w:sz w:val="24"/>
                <w:szCs w:val="24"/>
              </w:rPr>
              <w:t>(105)</w:t>
            </w:r>
          </w:p>
        </w:tc>
        <w:tc>
          <w:tcPr>
            <w:tcW w:w="2700" w:type="dxa"/>
            <w:vAlign w:val="center"/>
          </w:tcPr>
          <w:p w:rsidR="008B77A1" w:rsidRPr="001851FD" w:rsidRDefault="00506AE4" w:rsidP="001851FD">
            <w:pPr>
              <w:jc w:val="center"/>
              <w:rPr>
                <w:sz w:val="24"/>
                <w:szCs w:val="24"/>
              </w:rPr>
            </w:pPr>
            <w:r w:rsidRPr="001851FD">
              <w:rPr>
                <w:sz w:val="24"/>
                <w:szCs w:val="24"/>
              </w:rPr>
              <w:t>Rural-Principal Arterial-Other</w:t>
            </w:r>
          </w:p>
        </w:tc>
        <w:tc>
          <w:tcPr>
            <w:tcW w:w="2790" w:type="dxa"/>
            <w:vAlign w:val="center"/>
          </w:tcPr>
          <w:p w:rsidR="008B77A1" w:rsidRDefault="00506AE4" w:rsidP="001851FD">
            <w:pPr>
              <w:jc w:val="center"/>
              <w:rPr>
                <w:sz w:val="24"/>
                <w:szCs w:val="24"/>
              </w:rPr>
            </w:pPr>
            <w:r>
              <w:rPr>
                <w:sz w:val="24"/>
                <w:szCs w:val="24"/>
              </w:rPr>
              <w:t>Age 16-25</w:t>
            </w:r>
          </w:p>
        </w:tc>
        <w:tc>
          <w:tcPr>
            <w:tcW w:w="2695" w:type="dxa"/>
            <w:vAlign w:val="center"/>
          </w:tcPr>
          <w:p w:rsidR="008B77A1" w:rsidRDefault="00506AE4" w:rsidP="001851FD">
            <w:pPr>
              <w:jc w:val="center"/>
              <w:rPr>
                <w:sz w:val="24"/>
                <w:szCs w:val="24"/>
              </w:rPr>
            </w:pPr>
            <w:r>
              <w:rPr>
                <w:sz w:val="24"/>
                <w:szCs w:val="24"/>
              </w:rPr>
              <w:t>West</w:t>
            </w:r>
          </w:p>
        </w:tc>
      </w:tr>
      <w:tr w:rsidR="008B77A1" w:rsidTr="001851FD">
        <w:trPr>
          <w:trHeight w:val="521"/>
        </w:trPr>
        <w:tc>
          <w:tcPr>
            <w:tcW w:w="1165" w:type="dxa"/>
            <w:shd w:val="clear" w:color="auto" w:fill="9CC2E5" w:themeFill="accent1" w:themeFillTint="99"/>
            <w:vAlign w:val="center"/>
          </w:tcPr>
          <w:p w:rsidR="008B77A1" w:rsidRDefault="008B77A1" w:rsidP="001851FD">
            <w:pPr>
              <w:jc w:val="center"/>
              <w:rPr>
                <w:sz w:val="24"/>
                <w:szCs w:val="24"/>
              </w:rPr>
            </w:pPr>
            <w:r>
              <w:rPr>
                <w:sz w:val="24"/>
                <w:szCs w:val="24"/>
              </w:rPr>
              <w:t>Group 4</w:t>
            </w:r>
          </w:p>
          <w:p w:rsidR="00F74A5E" w:rsidRDefault="00F74A5E" w:rsidP="001851FD">
            <w:pPr>
              <w:jc w:val="center"/>
              <w:rPr>
                <w:sz w:val="24"/>
                <w:szCs w:val="24"/>
              </w:rPr>
            </w:pPr>
            <w:r>
              <w:rPr>
                <w:sz w:val="24"/>
                <w:szCs w:val="24"/>
              </w:rPr>
              <w:t>(1023)</w:t>
            </w:r>
          </w:p>
        </w:tc>
        <w:tc>
          <w:tcPr>
            <w:tcW w:w="2700" w:type="dxa"/>
            <w:vAlign w:val="center"/>
          </w:tcPr>
          <w:p w:rsidR="008B77A1" w:rsidRPr="001851FD" w:rsidRDefault="00506AE4" w:rsidP="001851FD">
            <w:pPr>
              <w:jc w:val="center"/>
              <w:rPr>
                <w:sz w:val="24"/>
                <w:szCs w:val="24"/>
              </w:rPr>
            </w:pPr>
            <w:r w:rsidRPr="001851FD">
              <w:rPr>
                <w:sz w:val="24"/>
                <w:szCs w:val="24"/>
              </w:rPr>
              <w:t>Rural-Local Road or Street</w:t>
            </w:r>
          </w:p>
        </w:tc>
        <w:tc>
          <w:tcPr>
            <w:tcW w:w="2790" w:type="dxa"/>
            <w:vAlign w:val="center"/>
          </w:tcPr>
          <w:p w:rsidR="008B77A1" w:rsidRDefault="00506AE4" w:rsidP="001851FD">
            <w:pPr>
              <w:jc w:val="center"/>
              <w:rPr>
                <w:sz w:val="24"/>
                <w:szCs w:val="24"/>
              </w:rPr>
            </w:pPr>
            <w:r>
              <w:rPr>
                <w:sz w:val="24"/>
                <w:szCs w:val="24"/>
              </w:rPr>
              <w:t>Age 20-28</w:t>
            </w:r>
          </w:p>
        </w:tc>
        <w:tc>
          <w:tcPr>
            <w:tcW w:w="2695" w:type="dxa"/>
            <w:vAlign w:val="center"/>
          </w:tcPr>
          <w:p w:rsidR="008B77A1" w:rsidRDefault="00506AE4" w:rsidP="001851FD">
            <w:pPr>
              <w:jc w:val="center"/>
              <w:rPr>
                <w:sz w:val="24"/>
                <w:szCs w:val="24"/>
              </w:rPr>
            </w:pPr>
            <w:r>
              <w:rPr>
                <w:sz w:val="24"/>
                <w:szCs w:val="24"/>
              </w:rPr>
              <w:t>West</w:t>
            </w:r>
          </w:p>
        </w:tc>
      </w:tr>
      <w:tr w:rsidR="008B77A1" w:rsidTr="001851FD">
        <w:trPr>
          <w:trHeight w:val="521"/>
        </w:trPr>
        <w:tc>
          <w:tcPr>
            <w:tcW w:w="1165" w:type="dxa"/>
            <w:shd w:val="clear" w:color="auto" w:fill="9CC2E5" w:themeFill="accent1" w:themeFillTint="99"/>
            <w:vAlign w:val="center"/>
          </w:tcPr>
          <w:p w:rsidR="008B77A1" w:rsidRDefault="008B77A1" w:rsidP="001851FD">
            <w:pPr>
              <w:jc w:val="center"/>
              <w:rPr>
                <w:sz w:val="24"/>
                <w:szCs w:val="24"/>
              </w:rPr>
            </w:pPr>
            <w:r>
              <w:rPr>
                <w:sz w:val="24"/>
                <w:szCs w:val="24"/>
              </w:rPr>
              <w:t>Group 5</w:t>
            </w:r>
          </w:p>
          <w:p w:rsidR="00F74A5E" w:rsidRDefault="00F74A5E" w:rsidP="001851FD">
            <w:pPr>
              <w:jc w:val="center"/>
              <w:rPr>
                <w:sz w:val="24"/>
                <w:szCs w:val="24"/>
              </w:rPr>
            </w:pPr>
            <w:r>
              <w:rPr>
                <w:sz w:val="24"/>
                <w:szCs w:val="24"/>
              </w:rPr>
              <w:t>(261)</w:t>
            </w:r>
          </w:p>
        </w:tc>
        <w:tc>
          <w:tcPr>
            <w:tcW w:w="2700" w:type="dxa"/>
            <w:vAlign w:val="center"/>
          </w:tcPr>
          <w:p w:rsidR="008B77A1" w:rsidRDefault="00506AE4" w:rsidP="001851FD">
            <w:pPr>
              <w:jc w:val="center"/>
              <w:rPr>
                <w:sz w:val="24"/>
                <w:szCs w:val="24"/>
              </w:rPr>
            </w:pPr>
            <w:r>
              <w:rPr>
                <w:sz w:val="24"/>
                <w:szCs w:val="24"/>
              </w:rPr>
              <w:t>Alcohol Involved</w:t>
            </w:r>
          </w:p>
        </w:tc>
        <w:tc>
          <w:tcPr>
            <w:tcW w:w="2790" w:type="dxa"/>
            <w:vAlign w:val="center"/>
          </w:tcPr>
          <w:p w:rsidR="008B77A1" w:rsidRDefault="00506AE4" w:rsidP="001851FD">
            <w:pPr>
              <w:jc w:val="center"/>
              <w:rPr>
                <w:sz w:val="24"/>
                <w:szCs w:val="24"/>
              </w:rPr>
            </w:pPr>
            <w:r>
              <w:rPr>
                <w:sz w:val="24"/>
                <w:szCs w:val="24"/>
              </w:rPr>
              <w:t>Male Driver</w:t>
            </w:r>
          </w:p>
        </w:tc>
        <w:tc>
          <w:tcPr>
            <w:tcW w:w="2695" w:type="dxa"/>
            <w:vAlign w:val="center"/>
          </w:tcPr>
          <w:p w:rsidR="008B77A1" w:rsidRDefault="00506AE4" w:rsidP="001851FD">
            <w:pPr>
              <w:jc w:val="center"/>
              <w:rPr>
                <w:sz w:val="24"/>
                <w:szCs w:val="24"/>
              </w:rPr>
            </w:pPr>
            <w:r>
              <w:rPr>
                <w:sz w:val="24"/>
                <w:szCs w:val="24"/>
              </w:rPr>
              <w:t>West</w:t>
            </w:r>
          </w:p>
        </w:tc>
      </w:tr>
      <w:tr w:rsidR="008B77A1" w:rsidTr="001851FD">
        <w:trPr>
          <w:trHeight w:val="548"/>
        </w:trPr>
        <w:tc>
          <w:tcPr>
            <w:tcW w:w="1165" w:type="dxa"/>
            <w:shd w:val="clear" w:color="auto" w:fill="9CC2E5" w:themeFill="accent1" w:themeFillTint="99"/>
            <w:vAlign w:val="center"/>
          </w:tcPr>
          <w:p w:rsidR="008B77A1" w:rsidRDefault="008B77A1" w:rsidP="001851FD">
            <w:pPr>
              <w:jc w:val="center"/>
              <w:rPr>
                <w:sz w:val="24"/>
                <w:szCs w:val="24"/>
              </w:rPr>
            </w:pPr>
            <w:r>
              <w:rPr>
                <w:sz w:val="24"/>
                <w:szCs w:val="24"/>
              </w:rPr>
              <w:t>Group 6</w:t>
            </w:r>
          </w:p>
          <w:p w:rsidR="00F74A5E" w:rsidRDefault="00F74A5E" w:rsidP="001851FD">
            <w:pPr>
              <w:jc w:val="center"/>
              <w:rPr>
                <w:sz w:val="24"/>
                <w:szCs w:val="24"/>
              </w:rPr>
            </w:pPr>
            <w:r>
              <w:rPr>
                <w:sz w:val="24"/>
                <w:szCs w:val="24"/>
              </w:rPr>
              <w:t>(351)</w:t>
            </w:r>
          </w:p>
        </w:tc>
        <w:tc>
          <w:tcPr>
            <w:tcW w:w="2700" w:type="dxa"/>
            <w:vAlign w:val="center"/>
          </w:tcPr>
          <w:p w:rsidR="008B77A1" w:rsidRDefault="00506AE4" w:rsidP="001851FD">
            <w:pPr>
              <w:jc w:val="center"/>
              <w:rPr>
                <w:sz w:val="24"/>
                <w:szCs w:val="24"/>
              </w:rPr>
            </w:pPr>
            <w:r>
              <w:rPr>
                <w:sz w:val="24"/>
                <w:szCs w:val="24"/>
              </w:rPr>
              <w:t>No Alcohol Involved</w:t>
            </w:r>
          </w:p>
        </w:tc>
        <w:tc>
          <w:tcPr>
            <w:tcW w:w="2790" w:type="dxa"/>
            <w:vAlign w:val="center"/>
          </w:tcPr>
          <w:p w:rsidR="008B77A1" w:rsidRDefault="00506AE4" w:rsidP="001851FD">
            <w:pPr>
              <w:jc w:val="center"/>
              <w:rPr>
                <w:sz w:val="24"/>
                <w:szCs w:val="24"/>
              </w:rPr>
            </w:pPr>
            <w:r>
              <w:rPr>
                <w:sz w:val="24"/>
                <w:szCs w:val="24"/>
              </w:rPr>
              <w:t>Female Driver</w:t>
            </w:r>
          </w:p>
        </w:tc>
        <w:tc>
          <w:tcPr>
            <w:tcW w:w="2695" w:type="dxa"/>
            <w:vAlign w:val="center"/>
          </w:tcPr>
          <w:p w:rsidR="008B77A1" w:rsidRDefault="00506AE4" w:rsidP="001851FD">
            <w:pPr>
              <w:jc w:val="center"/>
              <w:rPr>
                <w:sz w:val="24"/>
                <w:szCs w:val="24"/>
              </w:rPr>
            </w:pPr>
            <w:r>
              <w:rPr>
                <w:sz w:val="24"/>
                <w:szCs w:val="24"/>
              </w:rPr>
              <w:t>Midwest</w:t>
            </w:r>
          </w:p>
        </w:tc>
      </w:tr>
    </w:tbl>
    <w:p w:rsidR="008B77A1" w:rsidRDefault="008B77A1" w:rsidP="00F74A5E">
      <w:pPr>
        <w:spacing w:after="0" w:line="240" w:lineRule="auto"/>
        <w:jc w:val="center"/>
        <w:rPr>
          <w:sz w:val="24"/>
          <w:szCs w:val="24"/>
        </w:rPr>
      </w:pPr>
    </w:p>
    <w:p w:rsidR="008B77A1" w:rsidRDefault="00F74A5E" w:rsidP="00245787">
      <w:pPr>
        <w:spacing w:after="0" w:line="240" w:lineRule="auto"/>
        <w:rPr>
          <w:b/>
          <w:sz w:val="24"/>
          <w:szCs w:val="24"/>
        </w:rPr>
      </w:pPr>
      <w:r w:rsidRPr="00F74A5E">
        <w:rPr>
          <w:b/>
          <w:sz w:val="24"/>
          <w:szCs w:val="24"/>
        </w:rPr>
        <w:t>Recommendations:</w:t>
      </w:r>
    </w:p>
    <w:p w:rsidR="009066BA" w:rsidRPr="009066BA" w:rsidRDefault="009066BA" w:rsidP="00245787">
      <w:pPr>
        <w:spacing w:after="0" w:line="240" w:lineRule="auto"/>
        <w:rPr>
          <w:sz w:val="24"/>
          <w:szCs w:val="24"/>
        </w:rPr>
      </w:pPr>
      <w:r w:rsidRPr="009066BA">
        <w:rPr>
          <w:sz w:val="24"/>
          <w:szCs w:val="24"/>
        </w:rPr>
        <w:t>Using the results of the analysis there are several recommendations that I would like to make:</w:t>
      </w:r>
    </w:p>
    <w:p w:rsidR="009066BA" w:rsidRDefault="009066BA" w:rsidP="00245787">
      <w:pPr>
        <w:spacing w:after="0" w:line="240" w:lineRule="auto"/>
        <w:rPr>
          <w:b/>
          <w:sz w:val="24"/>
          <w:szCs w:val="24"/>
        </w:rPr>
      </w:pPr>
      <w:bookmarkStart w:id="0" w:name="_GoBack"/>
      <w:bookmarkEnd w:id="0"/>
    </w:p>
    <w:p w:rsidR="009066BA" w:rsidRDefault="009066BA" w:rsidP="009066BA">
      <w:pPr>
        <w:pStyle w:val="ListParagraph"/>
        <w:numPr>
          <w:ilvl w:val="0"/>
          <w:numId w:val="2"/>
        </w:numPr>
      </w:pPr>
      <w:r w:rsidRPr="009066BA">
        <w:t>Expansion to the South and</w:t>
      </w:r>
      <w:r>
        <w:t xml:space="preserve"> West Regions should be avoided or accounted for with higher rates.</w:t>
      </w:r>
    </w:p>
    <w:p w:rsidR="00C9682D" w:rsidRDefault="00C9682D" w:rsidP="00C9682D">
      <w:pPr>
        <w:pStyle w:val="ListParagraph"/>
      </w:pPr>
    </w:p>
    <w:p w:rsidR="009066BA" w:rsidRDefault="009066BA" w:rsidP="009066BA">
      <w:pPr>
        <w:pStyle w:val="ListParagraph"/>
      </w:pPr>
      <w:r>
        <w:t>The highest percentage of fatal accidents occurred in the south from both a percentage stand point and from commonality among the largest clusters.</w:t>
      </w:r>
      <w:r w:rsidR="00C9682D">
        <w:t xml:space="preserve">  Young drivers in the South and West tend to have fatal accidents on rural roads which means young drivers in rural areas should be charge higher rates or avoided as well.</w:t>
      </w:r>
    </w:p>
    <w:p w:rsidR="00C9682D" w:rsidRDefault="00C9682D" w:rsidP="009066BA">
      <w:pPr>
        <w:pStyle w:val="ListParagraph"/>
      </w:pPr>
    </w:p>
    <w:p w:rsidR="009066BA" w:rsidRDefault="009066BA" w:rsidP="009066BA">
      <w:pPr>
        <w:pStyle w:val="ListParagraph"/>
        <w:numPr>
          <w:ilvl w:val="0"/>
          <w:numId w:val="2"/>
        </w:numPr>
      </w:pPr>
      <w:r>
        <w:t>Male drivers between the in their teens and mid to late twenties should be avoided or charged higher rate.</w:t>
      </w:r>
    </w:p>
    <w:p w:rsidR="00C9682D" w:rsidRDefault="00C9682D" w:rsidP="00C9682D">
      <w:pPr>
        <w:pStyle w:val="ListParagraph"/>
      </w:pPr>
    </w:p>
    <w:p w:rsidR="00C9682D" w:rsidRDefault="00C9682D" w:rsidP="00C9682D">
      <w:pPr>
        <w:pStyle w:val="ListParagraph"/>
      </w:pPr>
      <w:r>
        <w:t xml:space="preserve">Again, the highest percentage of fatal accidents occurred when the driver was male and in their teens or mid to late twenties from both a percentage stand point and from commonality among the largest clusters.  This is not surprising since it is common insurance practice to charge these customers more, but our analysis confirms that this is continuing best practice going forward. </w:t>
      </w:r>
    </w:p>
    <w:p w:rsidR="00C9682D" w:rsidRDefault="00C9682D" w:rsidP="00C9682D">
      <w:pPr>
        <w:pStyle w:val="ListParagraph"/>
      </w:pPr>
    </w:p>
    <w:p w:rsidR="009066BA" w:rsidRDefault="009066BA" w:rsidP="009066BA">
      <w:pPr>
        <w:pStyle w:val="ListParagraph"/>
        <w:numPr>
          <w:ilvl w:val="0"/>
          <w:numId w:val="2"/>
        </w:numPr>
      </w:pPr>
      <w:r>
        <w:t>Expans</w:t>
      </w:r>
      <w:r w:rsidR="00C9682D">
        <w:t xml:space="preserve">ion to the Northeast </w:t>
      </w:r>
      <w:r>
        <w:t>should be the regions prioritized for expansion first or charged lower rate.</w:t>
      </w:r>
    </w:p>
    <w:p w:rsidR="00C9682D" w:rsidRDefault="00C9682D" w:rsidP="00C9682D">
      <w:pPr>
        <w:pStyle w:val="ListParagraph"/>
      </w:pPr>
    </w:p>
    <w:p w:rsidR="002D14E2" w:rsidRDefault="002D14E2" w:rsidP="00C9682D">
      <w:pPr>
        <w:pStyle w:val="ListParagraph"/>
      </w:pPr>
      <w:r>
        <w:t>The northeast showed no statistical commonality between the driver’s characteristics among drivers involved in fatal accidents.  Also, the number of fatal accidents is lower than other regions.</w:t>
      </w:r>
      <w:r w:rsidR="00265741">
        <w:t xml:space="preserve">  This region presents a good opportunity for expansion since many </w:t>
      </w:r>
      <w:r w:rsidR="00265741">
        <w:lastRenderedPageBreak/>
        <w:t xml:space="preserve">people whom own and car and require insurance do not </w:t>
      </w:r>
      <w:r w:rsidR="001851FD">
        <w:t>frequently use it due to public transportation options available.</w:t>
      </w:r>
    </w:p>
    <w:p w:rsidR="001851FD" w:rsidRDefault="001851FD" w:rsidP="001851FD"/>
    <w:p w:rsidR="001851FD" w:rsidRDefault="001851FD" w:rsidP="001851FD">
      <w:pPr>
        <w:spacing w:after="0" w:line="240" w:lineRule="auto"/>
        <w:rPr>
          <w:sz w:val="24"/>
          <w:szCs w:val="24"/>
        </w:rPr>
      </w:pPr>
      <w:r w:rsidRPr="001851FD">
        <w:rPr>
          <w:sz w:val="24"/>
          <w:szCs w:val="24"/>
        </w:rPr>
        <w:t>I hope this analysis proved helpful in our decision making process on future expansion.  As always feel free to contact me with any questions.</w:t>
      </w:r>
    </w:p>
    <w:p w:rsidR="001851FD" w:rsidRDefault="001851FD" w:rsidP="001851FD">
      <w:pPr>
        <w:spacing w:after="0" w:line="240" w:lineRule="auto"/>
        <w:rPr>
          <w:sz w:val="24"/>
          <w:szCs w:val="24"/>
        </w:rPr>
      </w:pPr>
    </w:p>
    <w:p w:rsidR="001851FD" w:rsidRDefault="001851FD" w:rsidP="001851FD">
      <w:pPr>
        <w:spacing w:after="0" w:line="240" w:lineRule="auto"/>
        <w:rPr>
          <w:sz w:val="24"/>
          <w:szCs w:val="24"/>
        </w:rPr>
      </w:pPr>
      <w:r>
        <w:rPr>
          <w:sz w:val="24"/>
          <w:szCs w:val="24"/>
        </w:rPr>
        <w:t>Tyler Conrad</w:t>
      </w:r>
    </w:p>
    <w:p w:rsidR="00B25798" w:rsidRPr="00AF1D74" w:rsidRDefault="001851FD" w:rsidP="00AF1D74">
      <w:pPr>
        <w:spacing w:after="0" w:line="240" w:lineRule="auto"/>
        <w:rPr>
          <w:sz w:val="24"/>
          <w:szCs w:val="24"/>
        </w:rPr>
      </w:pPr>
      <w:r>
        <w:rPr>
          <w:sz w:val="24"/>
          <w:szCs w:val="24"/>
        </w:rPr>
        <w:t>Data Enthusiast</w:t>
      </w:r>
    </w:p>
    <w:sectPr w:rsidR="00B25798" w:rsidRPr="00AF1D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altName w:val="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aramond-Bold">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BC0C25"/>
    <w:multiLevelType w:val="hybridMultilevel"/>
    <w:tmpl w:val="FA7E3A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5F81EE8"/>
    <w:multiLevelType w:val="hybridMultilevel"/>
    <w:tmpl w:val="E49AAEFC"/>
    <w:lvl w:ilvl="0" w:tplc="A64AE76E">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1D74"/>
    <w:rsid w:val="00126E7B"/>
    <w:rsid w:val="001851FD"/>
    <w:rsid w:val="00245787"/>
    <w:rsid w:val="00265741"/>
    <w:rsid w:val="002D14E2"/>
    <w:rsid w:val="00506AE4"/>
    <w:rsid w:val="0052012D"/>
    <w:rsid w:val="006B155C"/>
    <w:rsid w:val="006E0A04"/>
    <w:rsid w:val="008B77A1"/>
    <w:rsid w:val="009066BA"/>
    <w:rsid w:val="009861B3"/>
    <w:rsid w:val="00AF1D74"/>
    <w:rsid w:val="00B25798"/>
    <w:rsid w:val="00C9682D"/>
    <w:rsid w:val="00D41D49"/>
    <w:rsid w:val="00F74A5E"/>
    <w:rsid w:val="00FD1A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BC9F0F-1627-48DF-ADC8-B9E9754CF5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5798"/>
    <w:pPr>
      <w:spacing w:after="0" w:line="240" w:lineRule="auto"/>
      <w:ind w:left="720"/>
      <w:contextualSpacing/>
    </w:pPr>
    <w:rPr>
      <w:rFonts w:eastAsiaTheme="minorEastAsia"/>
      <w:sz w:val="24"/>
      <w:szCs w:val="24"/>
    </w:rPr>
  </w:style>
  <w:style w:type="paragraph" w:customStyle="1" w:styleId="Default">
    <w:name w:val="Default"/>
    <w:rsid w:val="00B25798"/>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39"/>
    <w:rsid w:val="008B77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9861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861B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2959088">
      <w:bodyDiv w:val="1"/>
      <w:marLeft w:val="0"/>
      <w:marRight w:val="0"/>
      <w:marTop w:val="0"/>
      <w:marBottom w:val="0"/>
      <w:divBdr>
        <w:top w:val="none" w:sz="0" w:space="0" w:color="auto"/>
        <w:left w:val="none" w:sz="0" w:space="0" w:color="auto"/>
        <w:bottom w:val="none" w:sz="0" w:space="0" w:color="auto"/>
        <w:right w:val="none" w:sz="0" w:space="0" w:color="auto"/>
      </w:divBdr>
    </w:div>
    <w:div w:id="856115243">
      <w:bodyDiv w:val="1"/>
      <w:marLeft w:val="0"/>
      <w:marRight w:val="0"/>
      <w:marTop w:val="0"/>
      <w:marBottom w:val="0"/>
      <w:divBdr>
        <w:top w:val="none" w:sz="0" w:space="0" w:color="auto"/>
        <w:left w:val="none" w:sz="0" w:space="0" w:color="auto"/>
        <w:bottom w:val="none" w:sz="0" w:space="0" w:color="auto"/>
        <w:right w:val="none" w:sz="0" w:space="0" w:color="auto"/>
      </w:divBdr>
    </w:div>
    <w:div w:id="1975482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3</Pages>
  <Words>636</Words>
  <Characters>3630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Honeywell FM&amp;T</Company>
  <LinksUpToDate>false</LinksUpToDate>
  <CharactersWithSpaces>4258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Local_user</dc:creator>
  <cp:keywords/>
  <dc:description/>
  <cp:lastModifiedBy>Local_user</cp:lastModifiedBy>
  <cp:revision>10</cp:revision>
  <dcterms:created xsi:type="dcterms:W3CDTF">2017-12-03T19:33:00Z</dcterms:created>
  <dcterms:modified xsi:type="dcterms:W3CDTF">2017-12-05T03:22:00Z</dcterms:modified>
</cp:coreProperties>
</file>