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7" w:name="content"/>
    <w:bookmarkStart w:id="26" w:name="resumen-ejecutivo"/>
    <w:p>
      <w:pPr>
        <w:pStyle w:val="Heading1"/>
      </w:pPr>
      <w:r>
        <w:t xml:space="preserve">Resumen ejecutivo</w:t>
      </w:r>
    </w:p>
    <w:p>
      <w:pPr>
        <w:pStyle w:val="FirstParagraph"/>
      </w:pPr>
      <w:r>
        <w:t xml:space="preserve">Comparando ambos TFG (nuestro “Dermapixel” de 188 páginas vs. el de los supervisores de 90 págs.), se observan diferencias marcadas en alcance, rigor y presentación. Nuestro TFG es mucho más extenso (≈71 000 palabras vs. ≈25 800) con 7 capítulos principales (Introducción, Estado del arte, Met. y Mat., Resultados, Discusión, Limitaciones, Conclusiones) y 8 anexos, frente a los 5 capítulos del otro (Introducción, Métodos, Experimentación, Otras aproximaciones, Conclusión) con 2 anexos. El contenido de nuestro trabajo cubre múltiples tareas (clasificación, segmentación, recuperación, análisis de equidad, zero-shot, LLMs, etc.), mientras que el otro se centra en segmentación de lesiones WMH (U-Net, 3D-U-Net, SAM, MedSAM). Esto se refleja en una mayor variedad de datasets (p.ej. HAM10000, BCN20000, ISIC2018, Fitzpatrick17k, PH2, PAD-UFES-20, Derm7pt, DDI y nuestro DermapixelAI) y encoders (PanDerm-Large, DermLIP v2, DINOv2, SigLIP, BiomedCLIP, ConvNeXt, EfficientNetV2, GPT-4o, MedGemma, etc.) frente a unos pocos (challenge WMH 2017, MSLesSeg-ICPR 2024).</w:t>
      </w:r>
    </w:p>
    <w:p>
      <w:pPr>
        <w:pStyle w:val="BodyText"/>
      </w:pPr>
      <w:r>
        <w:t xml:space="preserve">En rigor metodológico, nuestro TFG ejecuta muchos más experimentos (p.ej. sondeo lineal vs. fine-tuning, eficiencia de etiquetas, validaciones cruzadas, tests de DeLong【13†L9-L13】, auditoría de duplicados, análisis estadístico con bootstrap/IC) que el otro, que realiza básicamente validación de U-Net 2D/3D y análisis cualitativos de SAM. En cuanto a redacción, nuestro estilo es exhaustivo y académico, con abundantes referencias (≈186 citas vs. ≈122) y discusiones detalladas, aunque a veces denso; el otro es más conciso pero menos formal, con algunos errores menores (p.ej. “Hipertensas” en lugar de</w:t>
      </w:r>
      <w:r>
        <w:t xml:space="preserve"> </w:t>
      </w:r>
      <w:r>
        <w:rPr>
          <w:i/>
          <w:iCs/>
        </w:rPr>
        <w:t xml:space="preserve">hiperintensas</w:t>
      </w:r>
      <w:r>
        <w:t xml:space="preserve">, uso de mayúsculas y de anglicismos en medio de texto).</w:t>
      </w:r>
    </w:p>
    <w:p>
      <w:pPr>
        <w:pStyle w:val="BodyText"/>
      </w:pPr>
      <w:r>
        <w:t xml:space="preserve">En presentación, nuestro TFG usa muchas tablas (≈95) y relativamente pocas figuras (≈26 imágenes), mientras que el otro incluye muchas figuras (≈48) y tablas modestas (≈64). Ambos incluyen índices de figuras/cuadros y anexos, pero el nuestro es más completo. En aspectos éticos, nuestro TFG menciona explícitamente aprobación CEIC y limita el uso clínico (anexo C/E), mientras que el otro, al basarse en datos públicos (desafío MICCAI), no aborda este punto.</w:t>
      </w:r>
    </w:p>
    <w:p>
      <w:pPr>
        <w:pStyle w:val="BodyText"/>
      </w:pPr>
      <w:r>
        <w:t xml:space="preserve">En conjunto, ambos son defendibles: el nuestro aporta mayor innovación (p.ej.</w:t>
      </w:r>
      <w:r>
        <w:t xml:space="preserve"> </w:t>
      </w:r>
      <w:r>
        <w:rPr>
          <w:b/>
          <w:bCs/>
        </w:rPr>
        <w:t xml:space="preserve">Dermapixel R0</w:t>
      </w:r>
      <w:r>
        <w:t xml:space="preserve"> </w:t>
      </w:r>
      <w:r>
        <w:t xml:space="preserve">como primer modelo multimodal clínico en español) y profundidad, pero es más difícil de resumir en 20 min. El otro es más corto y claro, pero con contribuciones más sencillas (aplicación de U-Net/SAM a un dominio específico) y menor generalidad. La tabla adjunta resume métricas clave de ambos.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Métrica</w:t>
            </w:r>
          </w:p>
        </w:tc>
        <w:tc>
          <w:tcPr/>
          <w:p>
            <w:pPr>
              <w:pStyle w:val="Compact"/>
              <w:jc w:val="center"/>
            </w:pPr>
            <w:r>
              <w:rPr>
                <w:b/>
                <w:bCs/>
              </w:rPr>
              <w:t xml:space="preserve">TFG revisado (“Dermapixel”)</w:t>
            </w:r>
          </w:p>
        </w:tc>
        <w:tc>
          <w:tcPr/>
          <w:p>
            <w:pPr>
              <w:pStyle w:val="Compact"/>
              <w:jc w:val="center"/>
            </w:pPr>
            <w:r>
              <w:rPr>
                <w:b/>
                <w:bCs/>
              </w:rPr>
              <w:t xml:space="preserve">TFG supervisores (WMH)</w:t>
            </w:r>
          </w:p>
        </w:tc>
      </w:tr>
      <w:tr>
        <w:tc>
          <w:tcPr/>
          <w:p>
            <w:pPr>
              <w:pStyle w:val="Compact"/>
            </w:pPr>
            <w:r>
              <w:rPr>
                <w:b/>
                <w:bCs/>
              </w:rPr>
              <w:t xml:space="preserve">Capítulos principales</w:t>
            </w:r>
          </w:p>
        </w:tc>
        <w:tc>
          <w:tcPr/>
          <w:p>
            <w:pPr>
              <w:pStyle w:val="Compact"/>
              <w:jc w:val="center"/>
            </w:pPr>
            <w:r>
              <w:t xml:space="preserve">7 (1–7 + Bibliografía)</w:t>
            </w:r>
          </w:p>
        </w:tc>
        <w:tc>
          <w:tcPr/>
          <w:p>
            <w:pPr>
              <w:pStyle w:val="Compact"/>
              <w:jc w:val="center"/>
            </w:pPr>
            <w:r>
              <w:t xml:space="preserve">5 (1–5 + Bibliografía)</w:t>
            </w:r>
          </w:p>
        </w:tc>
      </w:tr>
      <w:tr>
        <w:tc>
          <w:tcPr/>
          <w:p>
            <w:pPr>
              <w:pStyle w:val="Compact"/>
            </w:pPr>
            <w:r>
              <w:rPr>
                <w:b/>
                <w:bCs/>
              </w:rPr>
              <w:t xml:space="preserve">Páginas / Palabras</w:t>
            </w:r>
          </w:p>
        </w:tc>
        <w:tc>
          <w:tcPr/>
          <w:p>
            <w:pPr>
              <w:pStyle w:val="Compact"/>
              <w:jc w:val="center"/>
            </w:pPr>
            <w:r>
              <w:t xml:space="preserve">188 páginas / ≈71 500 palabras</w:t>
            </w:r>
          </w:p>
        </w:tc>
        <w:tc>
          <w:tcPr/>
          <w:p>
            <w:pPr>
              <w:pStyle w:val="Compact"/>
              <w:jc w:val="center"/>
            </w:pPr>
            <w:r>
              <w:t xml:space="preserve">90 páginas / ≈25 800 palabras</w:t>
            </w:r>
          </w:p>
        </w:tc>
      </w:tr>
      <w:tr>
        <w:tc>
          <w:tcPr/>
          <w:p>
            <w:pPr>
              <w:pStyle w:val="Compact"/>
            </w:pPr>
            <w:r>
              <w:rPr>
                <w:b/>
                <w:bCs/>
              </w:rPr>
              <w:t xml:space="preserve">Anexos</w:t>
            </w:r>
          </w:p>
        </w:tc>
        <w:tc>
          <w:tcPr/>
          <w:p>
            <w:pPr>
              <w:pStyle w:val="Compact"/>
              <w:jc w:val="center"/>
            </w:pPr>
            <w:r>
              <w:t xml:space="preserve">8 (A–H)</w:t>
            </w:r>
          </w:p>
        </w:tc>
        <w:tc>
          <w:tcPr/>
          <w:p>
            <w:pPr>
              <w:pStyle w:val="Compact"/>
              <w:jc w:val="center"/>
            </w:pPr>
            <w:r>
              <w:t xml:space="preserve">2 (A–B)</w:t>
            </w:r>
          </w:p>
        </w:tc>
      </w:tr>
      <w:tr>
        <w:tc>
          <w:tcPr/>
          <w:p>
            <w:pPr>
              <w:pStyle w:val="Compact"/>
            </w:pPr>
            <w:r>
              <w:rPr>
                <w:b/>
                <w:bCs/>
              </w:rPr>
              <w:t xml:space="preserve">Datasets (ejemplos)</w:t>
            </w:r>
          </w:p>
        </w:tc>
        <w:tc>
          <w:tcPr/>
          <w:p>
            <w:pPr>
              <w:pStyle w:val="Compact"/>
              <w:jc w:val="center"/>
            </w:pPr>
            <w:r>
              <w:t xml:space="preserve">HAM10000, ISIC2018, BCN20000, Fitz17k, DermapixelAI1.0, DDI, Derm7pt, PH2, PAD-UFES-20, …</w:t>
            </w:r>
          </w:p>
        </w:tc>
        <w:tc>
          <w:tcPr/>
          <w:p>
            <w:pPr>
              <w:pStyle w:val="Compact"/>
              <w:jc w:val="center"/>
            </w:pPr>
            <w:r>
              <w:t xml:space="preserve">WMH MICCAI 2017, MSLesSeg-ICPR24 (externo)</w:t>
            </w:r>
          </w:p>
        </w:tc>
      </w:tr>
      <w:tr>
        <w:tc>
          <w:tcPr/>
          <w:p>
            <w:pPr>
              <w:pStyle w:val="Compact"/>
            </w:pPr>
            <w:r>
              <w:rPr>
                <w:b/>
                <w:bCs/>
              </w:rPr>
              <w:t xml:space="preserve">Modelos/Encoders</w:t>
            </w:r>
          </w:p>
        </w:tc>
        <w:tc>
          <w:tcPr/>
          <w:p>
            <w:pPr>
              <w:pStyle w:val="Compact"/>
              <w:jc w:val="center"/>
            </w:pPr>
            <w:r>
              <w:t xml:space="preserve">PanDerm-Large, DermLIPv2, DINOv2, SigLIP, BiomedCLIP, ConvNeXt-L, EffNetV2-L, SAM2.1-Large, GPT-4o, MedGemma, DermapixelR0…</w:t>
            </w:r>
          </w:p>
        </w:tc>
        <w:tc>
          <w:tcPr/>
          <w:p>
            <w:pPr>
              <w:pStyle w:val="Compact"/>
              <w:jc w:val="center"/>
            </w:pPr>
            <w:r>
              <w:t xml:space="preserve">2D U-Net, 3D U-Net, Segment Anything (SAM), MedSAM, MSLesSeg (ICPR’24)</w:t>
            </w:r>
          </w:p>
        </w:tc>
      </w:tr>
      <w:tr>
        <w:tc>
          <w:tcPr/>
          <w:p>
            <w:pPr>
              <w:pStyle w:val="Compact"/>
            </w:pPr>
            <w:r>
              <w:rPr>
                <w:b/>
                <w:bCs/>
              </w:rPr>
              <w:t xml:space="preserve">Tareas / Endpoints</w:t>
            </w:r>
          </w:p>
        </w:tc>
        <w:tc>
          <w:tcPr/>
          <w:p>
            <w:pPr>
              <w:pStyle w:val="Compact"/>
              <w:jc w:val="center"/>
            </w:pPr>
            <w:r>
              <w:t xml:space="preserve">Clasif. (AUROC, BAcc, F1), segmentación (Dice), recuperación (Acc@k), zero-shot multimodal, equidad por fototipo…</w:t>
            </w:r>
          </w:p>
        </w:tc>
        <w:tc>
          <w:tcPr/>
          <w:p>
            <w:pPr>
              <w:pStyle w:val="Compact"/>
              <w:jc w:val="center"/>
            </w:pPr>
            <w:r>
              <w:t xml:space="preserve">Segmentación WMH (Dice, IoU, recall, etc.), cumplimiento objetivos, análisis cualitativo</w:t>
            </w:r>
          </w:p>
        </w:tc>
      </w:tr>
      <w:tr>
        <w:tc>
          <w:tcPr/>
          <w:p>
            <w:pPr>
              <w:pStyle w:val="Compact"/>
            </w:pPr>
            <w:r>
              <w:rPr>
                <w:b/>
                <w:bCs/>
              </w:rPr>
              <w:t xml:space="preserve">Experimentos</w:t>
            </w:r>
          </w:p>
        </w:tc>
        <w:tc>
          <w:tcPr/>
          <w:p>
            <w:pPr>
              <w:pStyle w:val="Compact"/>
              <w:jc w:val="center"/>
            </w:pPr>
            <w:r>
              <w:t xml:space="preserve">≥10 protocolos (LP vs FT, eficiencia etiquetas, cross-val, comparación LLM, análisis equidad, auditoría de duplicados)</w:t>
            </w:r>
          </w:p>
        </w:tc>
        <w:tc>
          <w:tcPr/>
          <w:p>
            <w:pPr>
              <w:pStyle w:val="Compact"/>
              <w:jc w:val="center"/>
            </w:pPr>
            <w:r>
              <w:t xml:space="preserve">≈3–4 principales (U-Net 2D/3D, variantes de SAM)</w:t>
            </w:r>
          </w:p>
        </w:tc>
      </w:tr>
      <w:tr>
        <w:tc>
          <w:tcPr/>
          <w:p>
            <w:pPr>
              <w:pStyle w:val="Compact"/>
            </w:pPr>
            <w:r>
              <w:rPr>
                <w:b/>
                <w:bCs/>
              </w:rPr>
              <w:t xml:space="preserve">Tests estadísticos</w:t>
            </w:r>
          </w:p>
        </w:tc>
        <w:tc>
          <w:tcPr/>
          <w:p>
            <w:pPr>
              <w:pStyle w:val="Compact"/>
              <w:jc w:val="center"/>
            </w:pPr>
            <w:r>
              <w:t xml:space="preserve">Test DeLong (roc)【13†L9-L13】, bootstrap con IC, corrección Bonferroni (anexo B)</w:t>
            </w:r>
          </w:p>
        </w:tc>
        <w:tc>
          <w:tcPr/>
          <w:p>
            <w:pPr>
              <w:pStyle w:val="Compact"/>
              <w:jc w:val="center"/>
            </w:pPr>
            <w:r>
              <w:t xml:space="preserve">Mención sólo de IC (Confianza) en algunas métricas; sin tests formales aparentes</w:t>
            </w:r>
          </w:p>
        </w:tc>
      </w:tr>
      <w:tr>
        <w:tc>
          <w:tcPr/>
          <w:p>
            <w:pPr>
              <w:pStyle w:val="Compact"/>
            </w:pPr>
            <w:r>
              <w:rPr>
                <w:b/>
                <w:bCs/>
              </w:rPr>
              <w:t xml:space="preserve">Figuras (imágenes)</w:t>
            </w:r>
          </w:p>
        </w:tc>
        <w:tc>
          <w:tcPr/>
          <w:p>
            <w:pPr>
              <w:pStyle w:val="Compact"/>
              <w:jc w:val="center"/>
            </w:pPr>
            <w:r>
              <w:t xml:space="preserve">≈26 (objetos/importados)【11†L19-L27】</w:t>
            </w:r>
          </w:p>
        </w:tc>
        <w:tc>
          <w:tcPr/>
          <w:p>
            <w:pPr>
              <w:pStyle w:val="Compact"/>
              <w:jc w:val="center"/>
            </w:pPr>
            <w:r>
              <w:t xml:space="preserve">≈48 (gráficos, segmentaciones, diagramas)</w:t>
            </w:r>
          </w:p>
        </w:tc>
      </w:tr>
      <w:tr>
        <w:tc>
          <w:tcPr/>
          <w:p>
            <w:pPr>
              <w:pStyle w:val="Compact"/>
            </w:pPr>
            <w:r>
              <w:rPr>
                <w:b/>
                <w:bCs/>
              </w:rPr>
              <w:t xml:space="preserve">Tablas/Cuadros</w:t>
            </w:r>
          </w:p>
        </w:tc>
        <w:tc>
          <w:tcPr/>
          <w:p>
            <w:pPr>
              <w:pStyle w:val="Compact"/>
              <w:jc w:val="center"/>
            </w:pPr>
            <w:r>
              <w:t xml:space="preserve">95 referencias (“Tabla/Cuadro”)</w:t>
            </w:r>
          </w:p>
        </w:tc>
        <w:tc>
          <w:tcPr/>
          <w:p>
            <w:pPr>
              <w:pStyle w:val="Compact"/>
              <w:jc w:val="center"/>
            </w:pPr>
            <w:r>
              <w:t xml:space="preserve">64 referencias (“Tabla/Cuadro”)</w:t>
            </w:r>
          </w:p>
        </w:tc>
      </w:tr>
      <w:tr>
        <w:tc>
          <w:tcPr/>
          <w:p>
            <w:pPr>
              <w:pStyle w:val="Compact"/>
            </w:pPr>
            <w:r>
              <w:rPr>
                <w:b/>
                <w:bCs/>
              </w:rPr>
              <w:t xml:space="preserve">Lenguaje / Redacción</w:t>
            </w:r>
          </w:p>
        </w:tc>
        <w:tc>
          <w:tcPr/>
          <w:p>
            <w:pPr>
              <w:pStyle w:val="Compact"/>
              <w:jc w:val="center"/>
            </w:pPr>
            <w:r>
              <w:t xml:space="preserve">Muy formal; definiciones claras; español académico. A veces redundante o excesivamente detallado.</w:t>
            </w:r>
          </w:p>
        </w:tc>
        <w:tc>
          <w:tcPr/>
          <w:p>
            <w:pPr>
              <w:pStyle w:val="Compact"/>
              <w:jc w:val="center"/>
            </w:pPr>
            <w:r>
              <w:t xml:space="preserve">Claro y breve; uso de anglicismos/prefijos mixto; un par de incorrecciones (tildes, términos).</w:t>
            </w:r>
          </w:p>
        </w:tc>
      </w:tr>
      <w:tr>
        <w:tc>
          <w:tcPr/>
          <w:p>
            <w:pPr>
              <w:pStyle w:val="Compact"/>
            </w:pPr>
            <w:r>
              <w:rPr>
                <w:b/>
                <w:bCs/>
              </w:rPr>
              <w:t xml:space="preserve">Contribución clave</w:t>
            </w:r>
          </w:p>
        </w:tc>
        <w:tc>
          <w:tcPr/>
          <w:p>
            <w:pPr>
              <w:pStyle w:val="Compact"/>
              <w:jc w:val="center"/>
            </w:pPr>
            <w:r>
              <w:t xml:space="preserve">Evaluación exhaustiva de modelos fundacionales dermatológicos; primer modelo multimodal clínico en español (Dermapixel R0) y toolkit replicable【13†L9-L13】.</w:t>
            </w:r>
          </w:p>
        </w:tc>
        <w:tc>
          <w:tcPr/>
          <w:p>
            <w:pPr>
              <w:pStyle w:val="Compact"/>
              <w:jc w:val="center"/>
            </w:pPr>
            <w:r>
              <w:t xml:space="preserve">Aplicación de técnicas de IA (U-Net, SAM) a segmentación de WMH; aporte menor en metodología nueva.</w:t>
            </w:r>
          </w:p>
        </w:tc>
      </w:tr>
      <w:tr>
        <w:tc>
          <w:tcPr/>
          <w:p>
            <w:pPr>
              <w:pStyle w:val="Compact"/>
            </w:pPr>
            <w:r>
              <w:rPr>
                <w:b/>
                <w:bCs/>
              </w:rPr>
              <w:t xml:space="preserve">Ética/CEIC</w:t>
            </w:r>
          </w:p>
        </w:tc>
        <w:tc>
          <w:tcPr/>
          <w:p>
            <w:pPr>
              <w:pStyle w:val="Compact"/>
              <w:jc w:val="center"/>
            </w:pPr>
            <w:r>
              <w:t xml:space="preserve">Mencionado explícitamente (evaluación CEIC y privacidad datos hospitalarios; detallado en Anexo C/E)</w:t>
            </w:r>
          </w:p>
        </w:tc>
        <w:tc>
          <w:tcPr/>
          <w:p>
            <w:pPr>
              <w:pStyle w:val="Compact"/>
              <w:jc w:val="center"/>
            </w:pPr>
            <w:r>
              <w:t xml:space="preserve">No aplicó (datos públicos)</w:t>
            </w:r>
          </w:p>
        </w:tc>
      </w:tr>
    </w:tbl>
    <w:bookmarkStart w:id="21" w:name="análisis-por-dimensión"/>
    <w:p>
      <w:pPr>
        <w:pStyle w:val="Heading2"/>
      </w:pPr>
      <w:r>
        <w:t xml:space="preserve">Análisis por dimensión</w:t>
      </w:r>
    </w:p>
    <w:p>
      <w:pPr>
        <w:numPr>
          <w:ilvl w:val="0"/>
          <w:numId w:val="1001"/>
        </w:numPr>
      </w:pPr>
      <w:r>
        <w:rPr>
          <w:b/>
          <w:bCs/>
        </w:rPr>
        <w:t xml:space="preserve">Estructura (capítulos, flujo, anexos):</w:t>
      </w:r>
      <w:r>
        <w:t xml:space="preserve"> </w:t>
      </w:r>
      <w:r>
        <w:t xml:space="preserve">Nuestro TFG sigue una estructura tradicional muy completa con capítulos separados (Estado del arte, Materiales y métodos, Resultados, Discusión, Limitaciones, Conclusiones) y un extenso anexo. Esto facilita abordar cada aspecto con detalle, pero puede dificultar la síntesis en una presentación corta. El TFG supervisores tiene estructura más compacta (5 capítulos), combinando discusión y conclusiones en menos secciones. Su flujo es directo (Introducción, Métodos, Experimentos, Conclusiones) y fácil de seguir para el lector, aunque con menos profundidad.</w:t>
      </w:r>
      <w:r>
        <w:t xml:space="preserve"> </w:t>
      </w:r>
      <w:r>
        <w:rPr>
          <w:b/>
          <w:bCs/>
        </w:rPr>
        <w:t xml:space="preserve">Fortalezas:</w:t>
      </w:r>
      <w:r>
        <w:t xml:space="preserve"> </w:t>
      </w:r>
      <w:r>
        <w:t xml:space="preserve">nuestra división detallada (p.ej. múltiples sub-secciones en Metodología y Discusión) hace el estudio exhaustivo; su estructura simple es ágil para el lector.</w:t>
      </w:r>
      <w:r>
        <w:t xml:space="preserve"> </w:t>
      </w:r>
      <w:r>
        <w:rPr>
          <w:b/>
          <w:bCs/>
        </w:rPr>
        <w:t xml:space="preserve">Debilidades:</w:t>
      </w:r>
      <w:r>
        <w:t xml:space="preserve"> </w:t>
      </w:r>
      <w:r>
        <w:t xml:space="preserve">nuestra división excesiva puede repetir puntos (por ejemplo, conceptos reintroducidos en distintos capítulos), mientras que ellos omiten un capítulo de estado del arte formal, lo que empobrece el contexto teórico.</w:t>
      </w:r>
    </w:p>
    <w:p>
      <w:pPr>
        <w:numPr>
          <w:ilvl w:val="0"/>
          <w:numId w:val="1001"/>
        </w:numPr>
      </w:pPr>
      <w:r>
        <w:rPr>
          <w:b/>
          <w:bCs/>
        </w:rPr>
        <w:t xml:space="preserve">Contenido (objeto, experimentos, métricas):</w:t>
      </w:r>
      <w:r>
        <w:t xml:space="preserve"> </w:t>
      </w:r>
      <w:r>
        <w:t xml:space="preserve">Nuestro TFG plantea claramente la</w:t>
      </w:r>
      <w:r>
        <w:t xml:space="preserve"> </w:t>
      </w:r>
      <w:r>
        <w:rPr>
          <w:i/>
          <w:iCs/>
        </w:rPr>
        <w:t xml:space="preserve">pregunta de investigación</w:t>
      </w:r>
      <w:r>
        <w:t xml:space="preserve"> </w:t>
      </w:r>
      <w:r>
        <w:t xml:space="preserve">(“¿Cómo funcionan los modelos fundacionales en dermatología clínica?”) y desglosa varios protocolos experimentales (p.ej. LP vs FT【13†L9-L13】, zero-shot, segmentación), cubriendo numerosos datasets públicos (HAM10000, BCN20000, ISIC2018, Fitzpatrick17k, etc.), además de introducir</w:t>
      </w:r>
      <w:r>
        <w:t xml:space="preserve"> </w:t>
      </w:r>
      <w:r>
        <w:rPr>
          <w:b/>
          <w:bCs/>
        </w:rPr>
        <w:t xml:space="preserve">DermapixelAI 1.0</w:t>
      </w:r>
      <w:r>
        <w:t xml:space="preserve"> </w:t>
      </w:r>
      <w:r>
        <w:t xml:space="preserve">propio. Los objetivos y restricciones están bien definidos (véase índice de contenidos). En contraste, el otro TFG se centra en un problema específico (segmentar lesiones WMH en MRI), con experimentos sobre el desafío MICCAI y algunas pruebas de U-Net y SAM.</w:t>
      </w:r>
      <w:r>
        <w:t xml:space="preserve"> </w:t>
      </w:r>
      <w:r>
        <w:rPr>
          <w:b/>
          <w:bCs/>
        </w:rPr>
        <w:t xml:space="preserve">Fortalezas:</w:t>
      </w:r>
      <w:r>
        <w:t xml:space="preserve"> </w:t>
      </w:r>
      <w:r>
        <w:t xml:space="preserve">nuestro trabajo abarca múltiples dominios y evidencia comparativa extensa (p.ej. se miden AUROC, BAcc, F1, Dice, IoU, Acc@k); el otro está enfocado y bien delimitado.</w:t>
      </w:r>
      <w:r>
        <w:t xml:space="preserve"> </w:t>
      </w:r>
      <w:r>
        <w:rPr>
          <w:b/>
          <w:bCs/>
        </w:rPr>
        <w:t xml:space="preserve">Debilidades:</w:t>
      </w:r>
      <w:r>
        <w:t xml:space="preserve"> </w:t>
      </w:r>
      <w:r>
        <w:t xml:space="preserve">quizás abarcamos tanto que faltaron hipótesis explícitas o priorización de objetivos, mientras que ellos no definen hipótesis claras (ni evaluación estadística robusta de resultados). Por ejemplo, no hacen tests de significancia para sus métricas, limitando la validez inferencial.</w:t>
      </w:r>
    </w:p>
    <w:p>
      <w:pPr>
        <w:numPr>
          <w:ilvl w:val="0"/>
          <w:numId w:val="1001"/>
        </w:numPr>
      </w:pPr>
      <w:r>
        <w:rPr>
          <w:b/>
          <w:bCs/>
        </w:rPr>
        <w:t xml:space="preserve">Contribución científica (novedad, reproducibilidad):</w:t>
      </w:r>
      <w:r>
        <w:t xml:space="preserve"> </w:t>
      </w:r>
      <w:r>
        <w:t xml:space="preserve">Nuestro TFG ofrece aportes originales: análisis profundo de modelos recientes (p.ej. PanDerm【5†L1-L4】, DermLIP【4†L1-L4】) y construcción de un modelo clínico completo en español (Dermapixel R0), además de datos (DermapixelAI). Empleamos código abierto (GitHub) y describimos el repositorio (Anexo A). El TFG comparado implementa métodos conocidos (U-Net, SAM) en un nuevo caso de uso, pero sin mayor innovación metodológica.</w:t>
      </w:r>
      <w:r>
        <w:t xml:space="preserve"> </w:t>
      </w:r>
      <w:r>
        <w:rPr>
          <w:b/>
          <w:bCs/>
        </w:rPr>
        <w:t xml:space="preserve">Fortalezas:</w:t>
      </w:r>
      <w:r>
        <w:t xml:space="preserve"> </w:t>
      </w:r>
      <w:r>
        <w:t xml:space="preserve">nuestro trabajo tiene novedad en dominio multilingüe y multimodalidad, y enfatiza la reproducibilidad (scripts, seeds definidos, anexo técnico). El suyo constituye una aplicación bien ejecutada, lo que es un aporte menor.</w:t>
      </w:r>
      <w:r>
        <w:t xml:space="preserve"> </w:t>
      </w:r>
      <w:r>
        <w:rPr>
          <w:b/>
          <w:bCs/>
        </w:rPr>
        <w:t xml:space="preserve">Debilidades:</w:t>
      </w:r>
      <w:r>
        <w:t xml:space="preserve"> </w:t>
      </w:r>
      <w:r>
        <w:t xml:space="preserve">la novedad de nuestro TFG es comparativamente alta, lo que implica que los resultados pueden ser sorprendentes pero también difíciles de validar externamente si no se documentan bien (ellos simplemente dan valores de Dice sin mostrar el código de U-Net). En cuanto a reproducibilidad, nuestro código está disponible mientras que el otro TFG no menciona repositorio ni parámetros detallados.</w:t>
      </w:r>
    </w:p>
    <w:p>
      <w:pPr>
        <w:numPr>
          <w:ilvl w:val="0"/>
          <w:numId w:val="1001"/>
        </w:numPr>
      </w:pPr>
      <w:r>
        <w:rPr>
          <w:b/>
          <w:bCs/>
        </w:rPr>
        <w:t xml:space="preserve">Rigor metodológico:</w:t>
      </w:r>
      <w:r>
        <w:t xml:space="preserve"> </w:t>
      </w:r>
      <w:r>
        <w:t xml:space="preserve">En nuestro TFG se detallan las configuraciones de entrenamiento (semillas fijas para aleatoriedad【12†L81-L90】), se realizan ablation studies (LP vs FT vs LoRA, efecto de prompts, etc.), y se aplican comparaciones estadísticas (test de DeLong con corrección de Bonferroni en Fitzpatrick17k【13†L9-L13】, bootstrap para IC en todas las métricas). También auditamos solapamientos de datos (MD5 contra Derm1M, Anexo C). El TFG supervisores describe entornos (Python, TensorFlow, librerías) y paramétricas básicas, pero carece de controles avanzados: no se mencionan semillas, tests estadísticos ni validación cruzada; sólo se reportan métricas puntuales.</w:t>
      </w:r>
      <w:r>
        <w:t xml:space="preserve"> </w:t>
      </w:r>
      <w:r>
        <w:rPr>
          <w:b/>
          <w:bCs/>
        </w:rPr>
        <w:t xml:space="preserve">Fortalezas:</w:t>
      </w:r>
      <w:r>
        <w:t xml:space="preserve"> </w:t>
      </w:r>
      <w:r>
        <w:t xml:space="preserve">nuestro diseño experimental es exhaustivo y robusto (múltiples validaciones, cross-val y tests de significancia), mientras que ellos cumplen el mínimo (dividir train/val/test).</w:t>
      </w:r>
      <w:r>
        <w:t xml:space="preserve"> </w:t>
      </w:r>
      <w:r>
        <w:rPr>
          <w:b/>
          <w:bCs/>
        </w:rPr>
        <w:t xml:space="preserve">Debilidades:</w:t>
      </w:r>
      <w:r>
        <w:t xml:space="preserve"> </w:t>
      </w:r>
      <w:r>
        <w:t xml:space="preserve">quizá nuestro procedimiento es complejo (puede perderse al lector), en contraste con el suyo que es directo. Sin embargo, la falta de rigor estadístico de ellos (por ejemplo, no reportar IC ni pruebas) es un punto débil claro.</w:t>
      </w:r>
    </w:p>
    <w:p>
      <w:pPr>
        <w:numPr>
          <w:ilvl w:val="0"/>
          <w:numId w:val="1001"/>
        </w:numPr>
      </w:pPr>
      <w:r>
        <w:rPr>
          <w:b/>
          <w:bCs/>
        </w:rPr>
        <w:t xml:space="preserve">Calidad de redacción y estilo:</w:t>
      </w:r>
      <w:r>
        <w:t xml:space="preserve"> </w:t>
      </w:r>
      <w:r>
        <w:t xml:space="preserve">Nuestro documento se expresa con un nivel académico alto, con definiciones claras (“modelo fundacional” en Introducción【20†L7-L11】) y uso correcto del español técnico. Se evitan coloquialismos y se detalla el trabajo en voz activa y pasiva según convenga. No obstante, a veces el texto es muy denso y repetitivo; por ejemplo, la discusión repite argumentos de resultados de forma extensa (secciones 5.1.x) y puede mejorarse la concisión. El TFG de supervisores es más breve y directo, pero utiliza de forma inconsistente terminología (mezcla inglés y español: p.ej. “White Matter Hiperintensities (WMH)” en la misma frase【20†L7-L11】, y alguna palabra incorrecta como “Hipertensas” en lugar de</w:t>
      </w:r>
      <w:r>
        <w:t xml:space="preserve"> </w:t>
      </w:r>
      <w:r>
        <w:rPr>
          <w:i/>
          <w:iCs/>
        </w:rPr>
        <w:t xml:space="preserve">Hiperintensas</w:t>
      </w:r>
      <w:r>
        <w:t xml:space="preserve">).</w:t>
      </w:r>
      <w:r>
        <w:t xml:space="preserve"> </w:t>
      </w:r>
      <w:r>
        <w:rPr>
          <w:b/>
          <w:bCs/>
        </w:rPr>
        <w:t xml:space="preserve">Fortalezas:</w:t>
      </w:r>
      <w:r>
        <w:t xml:space="preserve"> </w:t>
      </w:r>
      <w:r>
        <w:t xml:space="preserve">nuestro TFG mantiene coherencia terminológica y usa ejemplos concretos en contexto (p.ej. se citan varias fuentes para apoyar cada punto). Ellos redactan en párrafos compactos y evitan digresiones, lo que facilita la lectura rápida.</w:t>
      </w:r>
      <w:r>
        <w:t xml:space="preserve"> </w:t>
      </w:r>
      <w:r>
        <w:rPr>
          <w:b/>
          <w:bCs/>
        </w:rPr>
        <w:t xml:space="preserve">Debilidades:</w:t>
      </w:r>
      <w:r>
        <w:t xml:space="preserve"> </w:t>
      </w:r>
      <w:r>
        <w:t xml:space="preserve">en nuestro texto puede sobrar jerga o siglas sin explicar, y oraciones muy largas; en el suyo, faltan definiciones (no explican el significado médico de las lesiones WMH) y la voz narrativa es menos precisa.</w:t>
      </w:r>
    </w:p>
    <w:p>
      <w:pPr>
        <w:numPr>
          <w:ilvl w:val="0"/>
          <w:numId w:val="1001"/>
        </w:numPr>
      </w:pPr>
      <w:r>
        <w:rPr>
          <w:b/>
          <w:bCs/>
        </w:rPr>
        <w:t xml:space="preserve">Presentación (figuras, tablas, anexos):</w:t>
      </w:r>
      <w:r>
        <w:t xml:space="preserve"> </w:t>
      </w:r>
      <w:r>
        <w:t xml:space="preserve">Nuestro TFG incluye numerosos cuadros comparativos y tablas resumen (muchos de ellos en los anexos; total ≈95 tablas/cuadros). Sin embargo, destacan pocos gráficos ilustrativos: sólo ≈26 imágenes incluyen curvas y resultados clave (p.ej. ROC, barras)【11†L19-L27】. En cambio, el TFG comparado utiliza abundantes figuras (≈48, incluyendo segmentaciones de MRI y arquitecturas de red), lo que facilita la visualización de resultados. Los pies de figura y títulos en nuestro TFG son detallados pero algunas descripciones podrían ser más concisas; el otro TFG tiene pies breves pero claros, aunque a veces faltan unidades o leyendas en los ejes. Ambos incluyen índices de figuras/cuadros y cuentan con anexos. Nosotros proveemos anexos técnicos (A–H) con detalles replicables y resultados adicionales, lo cual es excelente; ellos sólo tienen dos anexos (validación de challenge y entrenamiento), quedando limitados los detalles reproducibles.</w:t>
      </w:r>
      <w:r>
        <w:t xml:space="preserve"> </w:t>
      </w:r>
      <w:r>
        <w:rPr>
          <w:b/>
          <w:bCs/>
        </w:rPr>
        <w:t xml:space="preserve">Fortalezas:</w:t>
      </w:r>
      <w:r>
        <w:t xml:space="preserve"> </w:t>
      </w:r>
      <w:r>
        <w:t xml:space="preserve">nuestros anexos son muy completos (p.ej. tabla B.10 con tests de ROC【13†L9-L13】). El otro documento destaca visualmente (diagramas, fotos) y está bien maquetado en general.</w:t>
      </w:r>
      <w:r>
        <w:t xml:space="preserve"> </w:t>
      </w:r>
      <w:r>
        <w:rPr>
          <w:b/>
          <w:bCs/>
        </w:rPr>
        <w:t xml:space="preserve">Debilidades:</w:t>
      </w:r>
      <w:r>
        <w:t xml:space="preserve"> </w:t>
      </w:r>
      <w:r>
        <w:t xml:space="preserve">algunos cuadros en nuestro TFG son muy grandes o complejos, y podrían resumirse (varias filas/columnas similares); en su TFG, casi no hay tablas en el cuerpo del texto, lo que dificulta comparaciones cuantitativas rápidas.</w:t>
      </w:r>
    </w:p>
    <w:p>
      <w:pPr>
        <w:numPr>
          <w:ilvl w:val="0"/>
          <w:numId w:val="1001"/>
        </w:numPr>
      </w:pPr>
      <w:r>
        <w:rPr>
          <w:b/>
          <w:bCs/>
        </w:rPr>
        <w:t xml:space="preserve">Consideraciones éticas y operativas:</w:t>
      </w:r>
      <w:r>
        <w:t xml:space="preserve"> </w:t>
      </w:r>
      <w:r>
        <w:t xml:space="preserve">En nuestro TFG se abordan explícitamente las limitaciones éticas (p.ej. aprobación CEIC para datos hospitalarios, privacidad de pacientes, ver Anexo C/E) y se define una “ventana operativa” por fototipo (sección 5.3.2) para uso clínico. Ellos no discuten ética (usaron datos públicos) ni despliegue. Ambos mencionan limitaciones de sus enfoques: nosotros detallamos limitaciones de disponibilidad y método (cap.6); ellos apenas reconocen el desbalance de clases y la dificultad de generalizar.</w:t>
      </w:r>
      <w:r>
        <w:t xml:space="preserve"> </w:t>
      </w:r>
      <w:r>
        <w:rPr>
          <w:b/>
          <w:bCs/>
        </w:rPr>
        <w:t xml:space="preserve">Fortalezas:</w:t>
      </w:r>
      <w:r>
        <w:t xml:space="preserve"> </w:t>
      </w:r>
      <w:r>
        <w:t xml:space="preserve">nuestro trabajo es íntegro al citar cada sesgo posible y un plan de validación prospectiva (Líneas abiertas 7.5.3). Su TFG se restringe a señalar algunos desbalances, pero sin plan de mitigación.</w:t>
      </w:r>
      <w:r>
        <w:t xml:space="preserve"> </w:t>
      </w:r>
      <w:r>
        <w:rPr>
          <w:b/>
          <w:bCs/>
        </w:rPr>
        <w:t xml:space="preserve">Debilidades:</w:t>
      </w:r>
      <w:r>
        <w:t xml:space="preserve"> </w:t>
      </w:r>
      <w:r>
        <w:t xml:space="preserve">quizás dedicamos mucho espacio a “porfolios operativos” (arquitectura recomendada, casuística de melanoma), lo que podría reducirse; ellos no aprovechan la sección de discusión para proponer aplicaciones clínicas.</w:t>
      </w:r>
    </w:p>
    <w:p>
      <w:pPr>
        <w:numPr>
          <w:ilvl w:val="0"/>
          <w:numId w:val="1001"/>
        </w:numPr>
      </w:pPr>
      <w:r>
        <w:rPr>
          <w:b/>
          <w:bCs/>
        </w:rPr>
        <w:t xml:space="preserve">Adecuación para calificación de TFG:</w:t>
      </w:r>
      <w:r>
        <w:t xml:space="preserve"> </w:t>
      </w:r>
      <w:r>
        <w:t xml:space="preserve">Nuestro TFG demuestra dominio profundo y podría impresionar por su alcance y modernidad, pero su densidad podría abrumar al tribunal en una presentación breve. Se valora positivamente el uso de varias fuentes y la implementación de conceptos actuales (modelos fundacionales). El TFG comparado es más modesto y lineal, por lo que es más fácil de defender en menos tiempo, pero aporta menos puntos de discusión académica avanzada.</w:t>
      </w:r>
      <w:r>
        <w:t xml:space="preserve"> </w:t>
      </w:r>
      <w:r>
        <w:rPr>
          <w:b/>
          <w:bCs/>
        </w:rPr>
        <w:t xml:space="preserve">Puntos fuertes:</w:t>
      </w:r>
      <w:r>
        <w:t xml:space="preserve"> </w:t>
      </w:r>
      <w:r>
        <w:t xml:space="preserve">la tesis amplia permite extraer conclusiones interesantes (p.ej. “no existe un único mejor modelo; la mejora viene de los datos”【8†L67-L75】), lo cual es defendible. Sin embargo, el tribunal podría pedir concretar algunos resultados o aclarar métodos (p.ej. justificación de N=500 vs N=5000 en label-efficiency). El otro TFG tendrá menor expectativa de profundidad, pero también menor margen de crediticio (menos actividad científica crítica).</w:t>
      </w:r>
    </w:p>
    <w:bookmarkEnd w:id="21"/>
    <w:bookmarkStart w:id="22" w:name="X7e027af594f95b596126d7e686b7311fe5af61b"/>
    <w:p>
      <w:pPr>
        <w:pStyle w:val="Heading2"/>
      </w:pPr>
      <w:r>
        <w:t xml:space="preserve">Ediciones recomendadas (prioridad alta/med/baja)</w:t>
      </w:r>
    </w:p>
    <w:p>
      <w:pPr>
        <w:numPr>
          <w:ilvl w:val="0"/>
          <w:numId w:val="1002"/>
        </w:numPr>
      </w:pPr>
      <w:r>
        <w:rPr>
          <w:b/>
          <w:bCs/>
        </w:rPr>
        <w:t xml:space="preserve">Claridad en discusión de metodología (prioridad</w:t>
      </w:r>
      <w:r>
        <w:rPr>
          <w:b/>
          <w:bCs/>
        </w:rPr>
        <w:t xml:space="preserve"> </w:t>
      </w:r>
      <w:r>
        <w:rPr>
          <w:b/>
          <w:bCs/>
          <w:i/>
          <w:iCs/>
        </w:rPr>
        <w:t xml:space="preserve">alta</w:t>
      </w:r>
      <w:r>
        <w:rPr>
          <w:b/>
          <w:bCs/>
        </w:rPr>
        <w:t xml:space="preserve">):</w:t>
      </w:r>
      <w:r>
        <w:t xml:space="preserve"> </w:t>
      </w:r>
      <w:r>
        <w:t xml:space="preserve">Simplificar párrafos muy largos y reordenar ideas para seguir lógica de pregunta-respuesta. Por ejemplo, en 5.1.1</w:t>
      </w:r>
      <w:r>
        <w:t xml:space="preserve"> </w:t>
      </w:r>
      <w:r>
        <w:rPr>
          <w:i/>
          <w:iCs/>
        </w:rPr>
        <w:t xml:space="preserve">“Ausencia de método óptimo”</w:t>
      </w:r>
      <w:r>
        <w:t xml:space="preserve"> </w:t>
      </w:r>
      <w:r>
        <w:t xml:space="preserve">el texto original es extenso. Se propone reescribirlo enfocando los hallazgos clave.</w:t>
      </w:r>
    </w:p>
    <w:p>
      <w:pPr>
        <w:numPr>
          <w:ilvl w:val="0"/>
          <w:numId w:val="1002"/>
        </w:numPr>
      </w:pPr>
      <w:r>
        <w:rPr>
          <w:i/>
          <w:iCs/>
        </w:rPr>
        <w:t xml:space="preserve">Texto original:</w:t>
      </w:r>
      <w:r>
        <w:t xml:space="preserve"> </w:t>
      </w:r>
      <w:r>
        <w:t xml:space="preserve">“Ningún codificador ni clasificad</w:t>
      </w:r>
      <w:r>
        <w:softHyphen/>
      </w:r>
      <w:r>
        <w:t xml:space="preserve">or domina todos los niveles ontológicos y todas las tareas… Las arquitecturas promptables…”</w:t>
      </w:r>
    </w:p>
    <w:p>
      <w:pPr>
        <w:pStyle w:val="Compact"/>
        <w:numPr>
          <w:ilvl w:val="0"/>
          <w:numId w:val="1002"/>
        </w:numPr>
      </w:pPr>
      <w:r>
        <w:rPr>
          <w:i/>
          <w:iCs/>
        </w:rPr>
        <w:t xml:space="preserve">Propuesta:</w:t>
      </w:r>
      <w:r>
        <w:t xml:space="preserve"> </w:t>
      </w:r>
      <w:r>
        <w:t xml:space="preserve">“En general, no existe un</w:t>
      </w:r>
      <w:r>
        <w:t xml:space="preserve"> </w:t>
      </w:r>
      <w:r>
        <w:rPr>
          <w:b/>
          <w:bCs/>
        </w:rPr>
        <w:t xml:space="preserve">modelo único superior</w:t>
      </w:r>
      <w:r>
        <w:t xml:space="preserve"> </w:t>
      </w:r>
      <w:r>
        <w:t xml:space="preserve">para todas las tareas dermatológicas. Por ejemplo, PanDerm-Large destaca en transferencia visual de amplio espectro, DermLIP-v2 y Dermapixel-R0 sobresalen en clasificación de subcategorías clínicas L2, mientras que MSLesSeg (ICPR’24) logra buena segmentación L3. Esto indica que la elección del modelo debe ajustarse a la tarea y nivel jerárquico concreto. Las arquitecturas promptables (como SAM2.1) ayudan en segmentación, pero no mejoran necesariamente la clasificación puro-sight.”</w:t>
      </w:r>
    </w:p>
    <w:p>
      <w:pPr>
        <w:numPr>
          <w:ilvl w:val="0"/>
          <w:numId w:val="1002"/>
        </w:numPr>
      </w:pPr>
      <w:r>
        <w:rPr>
          <w:i/>
          <w:iCs/>
        </w:rPr>
        <w:t xml:space="preserve">Razonamiento:</w:t>
      </w:r>
      <w:r>
        <w:t xml:space="preserve"> </w:t>
      </w:r>
      <w:r>
        <w:t xml:space="preserve">Asegura concisión y conecta directamente modelo → tarea.</w:t>
      </w:r>
    </w:p>
    <w:p>
      <w:pPr>
        <w:numPr>
          <w:ilvl w:val="0"/>
          <w:numId w:val="1002"/>
        </w:numPr>
      </w:pPr>
      <w:r>
        <w:rPr>
          <w:b/>
          <w:bCs/>
        </w:rPr>
        <w:t xml:space="preserve">Consistencia en terminología y gramática (alta):</w:t>
      </w:r>
      <w:r>
        <w:t xml:space="preserve"> </w:t>
      </w:r>
      <w:r>
        <w:t xml:space="preserve">Revisar las cadenas de siglas y términos técnicos para usar un estilo uniforme. Por ejemplo, el otro TFG usa “White Matter Hiperintensities” (mezcla inglés/español) y puede corregirse a “lesiones de sustancia blanca hiperintensa (WMH)”. Del mismo modo, evite alternar “fototipo”/“pardo oscura” sin definición.</w:t>
      </w:r>
    </w:p>
    <w:p>
      <w:pPr>
        <w:numPr>
          <w:ilvl w:val="0"/>
          <w:numId w:val="1002"/>
        </w:numPr>
      </w:pPr>
      <w:r>
        <w:rPr>
          <w:i/>
          <w:iCs/>
        </w:rPr>
        <w:t xml:space="preserve">Original posible:</w:t>
      </w:r>
      <w:r>
        <w:t xml:space="preserve"> </w:t>
      </w:r>
      <w:r>
        <w:t xml:space="preserve">“Se trabajó con lesio</w:t>
      </w:r>
      <w:r>
        <w:softHyphen/>
      </w:r>
      <w:r>
        <w:t xml:space="preserve">nes WMH del challenge,”</w:t>
      </w:r>
    </w:p>
    <w:p>
      <w:pPr>
        <w:numPr>
          <w:ilvl w:val="0"/>
          <w:numId w:val="1002"/>
        </w:numPr>
      </w:pPr>
      <w:r>
        <w:rPr>
          <w:i/>
          <w:iCs/>
        </w:rPr>
        <w:t xml:space="preserve">Reescritura:</w:t>
      </w:r>
      <w:r>
        <w:t xml:space="preserve"> </w:t>
      </w:r>
      <w:r>
        <w:t xml:space="preserve">“Se estudiaron las</w:t>
      </w:r>
      <w:r>
        <w:t xml:space="preserve"> </w:t>
      </w:r>
      <w:r>
        <w:rPr>
          <w:b/>
          <w:bCs/>
        </w:rPr>
        <w:t xml:space="preserve">lesiones de sustancia blanca hiperintensas (WMH)</w:t>
      </w:r>
      <w:r>
        <w:t xml:space="preserve"> </w:t>
      </w:r>
      <w:r>
        <w:t xml:space="preserve">provenientes del desafío público MICCAI 2017”【20†L7-L11】.</w:t>
      </w:r>
    </w:p>
    <w:p>
      <w:pPr>
        <w:numPr>
          <w:ilvl w:val="0"/>
          <w:numId w:val="1002"/>
        </w:numPr>
      </w:pPr>
      <w:r>
        <w:rPr>
          <w:b/>
          <w:bCs/>
        </w:rPr>
        <w:t xml:space="preserve">Mejora de transiciones (media):</w:t>
      </w:r>
      <w:r>
        <w:t xml:space="preserve"> </w:t>
      </w:r>
      <w:r>
        <w:t xml:space="preserve">Algunos párrafos carecen de conexiones claras entre ideas. En secciones largas como 5.2 Comparación con la literatura, conviene empezar cada apartado con “En coherencia con X” o “A diferencia de Y” para guiar al lector. Esto aumenta la fluidez.</w:t>
      </w:r>
    </w:p>
    <w:p>
      <w:pPr>
        <w:numPr>
          <w:ilvl w:val="0"/>
          <w:numId w:val="1002"/>
        </w:numPr>
      </w:pPr>
      <w:r>
        <w:rPr>
          <w:b/>
          <w:bCs/>
        </w:rPr>
        <w:t xml:space="preserve">Refuerzo de conclusiones con datos (media):</w:t>
      </w:r>
      <w:r>
        <w:t xml:space="preserve"> </w:t>
      </w:r>
      <w:r>
        <w:t xml:space="preserve">En la discusión y conclusiones, añadir cifras concretas brevemente (“PanDerm-Large alcanza AUROC=0.796 vs DermLIP=0.860 en HAM10000【13†L9-L13】”). Actualmente se mencionan resultados cualitativamente (“superior”, “cercano”) sin números. Incorporar algunos valores clave mejora la argumentación.</w:t>
      </w:r>
    </w:p>
    <w:p>
      <w:pPr>
        <w:numPr>
          <w:ilvl w:val="0"/>
          <w:numId w:val="1002"/>
        </w:numPr>
      </w:pPr>
      <w:r>
        <w:rPr>
          <w:b/>
          <w:bCs/>
        </w:rPr>
        <w:t xml:space="preserve">Reducción de repetición (baja):</w:t>
      </w:r>
      <w:r>
        <w:t xml:space="preserve"> </w:t>
      </w:r>
      <w:r>
        <w:t xml:space="preserve">Revisar capítulos largos (especialmente Estado del arte y Discusión) para eliminar reiteraciones. Por ejemplo, repetir en la Introducción y Conclusiones que Dermapixel R0 es primero en español. Se sugiere mencionar solo una vez con citas apropiadas.</w:t>
      </w:r>
    </w:p>
    <w:p>
      <w:pPr>
        <w:numPr>
          <w:ilvl w:val="0"/>
          <w:numId w:val="1002"/>
        </w:numPr>
      </w:pPr>
      <w:r>
        <w:rPr>
          <w:b/>
          <w:bCs/>
        </w:rPr>
        <w:t xml:space="preserve">Corregir estilo de figura/tabla (baja):</w:t>
      </w:r>
      <w:r>
        <w:t xml:space="preserve"> </w:t>
      </w:r>
      <w:r>
        <w:t xml:space="preserve">Ajustar títulos y leyendas de las figuras importadas en el texto para mayor claridad. Ejemplo: cambiar “Figura 4.1: Ejemplo de segmentación” por “Figura 4.1 – Segmentación de lesiones de melanoma: a) original; b) máscara predicha.” Añadir unidades e indicar dataset de origen cuando aplique.</w:t>
      </w:r>
    </w:p>
    <w:bookmarkEnd w:id="22"/>
    <w:bookmarkStart w:id="23" w:name="estrategia-de-defensa"/>
    <w:p>
      <w:pPr>
        <w:pStyle w:val="Heading2"/>
      </w:pPr>
      <w:r>
        <w:t xml:space="preserve">Estrategia de defensa</w:t>
      </w:r>
    </w:p>
    <w:p>
      <w:pPr>
        <w:pStyle w:val="FirstParagraph"/>
      </w:pPr>
      <w:r>
        <w:rPr>
          <w:b/>
          <w:bCs/>
        </w:rPr>
        <w:t xml:space="preserve">Preguntas previstas (y respuestas modelo):</w:t>
      </w:r>
    </w:p>
    <w:p>
      <w:pPr>
        <w:numPr>
          <w:ilvl w:val="0"/>
          <w:numId w:val="1003"/>
        </w:numPr>
      </w:pPr>
      <w:r>
        <w:rPr>
          <w:i/>
          <w:iCs/>
        </w:rPr>
        <w:t xml:space="preserve">“¿Cuál es la pregunta de investigación y cómo la aborda su TFG?”</w:t>
      </w:r>
      <w:r>
        <w:t xml:space="preserve"> </w:t>
      </w:r>
      <w:r>
        <w:t xml:space="preserve">–</w:t>
      </w:r>
      <w:r>
        <w:t xml:space="preserve"> </w:t>
      </w:r>
      <w:r>
        <w:rPr>
          <w:b/>
          <w:bCs/>
        </w:rPr>
        <w:t xml:space="preserve">Respuesta:</w:t>
      </w:r>
      <w:r>
        <w:t xml:space="preserve"> </w:t>
      </w:r>
      <w:r>
        <w:t xml:space="preserve">Investigamos qué tan bien se desempeñan los modelos fundacionales preentrenados (p.ej. PanDerm, DermLIP, DINOv2) en tareas dermatológicas específicas. Lo abordamos evaluándolos en tareas clave (clasificación de malignidad, segmentación de lesiones, recuperación de casos similares, clasificación zero-shot con texto) usando múltiple datasets, y comparándolos con adaptaciones alternativas (fine-tuning vs linear probing, LLMs generales). De este modo establecimos cuál se ajusta mejor según la tarea y el dominio【8†L67-L75】.</w:t>
      </w:r>
    </w:p>
    <w:p>
      <w:pPr>
        <w:numPr>
          <w:ilvl w:val="0"/>
          <w:numId w:val="1003"/>
        </w:numPr>
      </w:pPr>
      <w:r>
        <w:rPr>
          <w:i/>
          <w:iCs/>
        </w:rPr>
        <w:t xml:space="preserve">“Su trabajo contiene muchos experimentos. ¿Cómo lo organizaría para presentación corta?”</w:t>
      </w:r>
      <w:r>
        <w:t xml:space="preserve"> </w:t>
      </w:r>
      <w:r>
        <w:t xml:space="preserve">–</w:t>
      </w:r>
      <w:r>
        <w:t xml:space="preserve"> </w:t>
      </w:r>
      <w:r>
        <w:rPr>
          <w:b/>
          <w:bCs/>
        </w:rPr>
        <w:t xml:space="preserve">Respuesta:</w:t>
      </w:r>
      <w:r>
        <w:t xml:space="preserve"> </w:t>
      </w:r>
      <w:r>
        <w:t xml:space="preserve">En la presentación destacaría los experimentos clave: (a)</w:t>
      </w:r>
      <w:r>
        <w:t xml:space="preserve"> </w:t>
      </w:r>
      <w:r>
        <w:rPr>
          <w:b/>
          <w:bCs/>
        </w:rPr>
        <w:t xml:space="preserve">Clasificación supervisada:</w:t>
      </w:r>
      <w:r>
        <w:t xml:space="preserve"> </w:t>
      </w:r>
      <w:r>
        <w:t xml:space="preserve">AUROC y BAcc en HAM10000 y BCN20000, mostrando que PanDerm-Large es fuerte; (b)</w:t>
      </w:r>
      <w:r>
        <w:t xml:space="preserve"> </w:t>
      </w:r>
      <w:r>
        <w:rPr>
          <w:b/>
          <w:bCs/>
        </w:rPr>
        <w:t xml:space="preserve">Segmentación:</w:t>
      </w:r>
      <w:r>
        <w:t xml:space="preserve"> </w:t>
      </w:r>
      <w:r>
        <w:t xml:space="preserve">Dice con SAM2.1, mostrando saturación de rendimiento; (c)</w:t>
      </w:r>
      <w:r>
        <w:t xml:space="preserve"> </w:t>
      </w:r>
      <w:r>
        <w:rPr>
          <w:b/>
          <w:bCs/>
        </w:rPr>
        <w:t xml:space="preserve">Zero-shot y multimodal:</w:t>
      </w:r>
      <w:r>
        <w:t xml:space="preserve"> </w:t>
      </w:r>
      <w:r>
        <w:t xml:space="preserve">desempeño de DermLIP vs LLM (MedGemma), resaltando la importancia del prompt/idioma; (d)</w:t>
      </w:r>
      <w:r>
        <w:t xml:space="preserve"> </w:t>
      </w:r>
      <w:r>
        <w:rPr>
          <w:b/>
          <w:bCs/>
        </w:rPr>
        <w:t xml:space="preserve">Equidad:</w:t>
      </w:r>
      <w:r>
        <w:t xml:space="preserve"> </w:t>
      </w:r>
      <w:r>
        <w:t xml:space="preserve">gap por fototipo, indicando sesgos remanentes. Esta selección cubre las conclusiones principales sin entrar en todos los detalles menores.</w:t>
      </w:r>
    </w:p>
    <w:p>
      <w:pPr>
        <w:numPr>
          <w:ilvl w:val="0"/>
          <w:numId w:val="1003"/>
        </w:numPr>
      </w:pPr>
      <w:r>
        <w:rPr>
          <w:i/>
          <w:iCs/>
        </w:rPr>
        <w:t xml:space="preserve">“¿Cómo valida la significancia de sus resultados?”</w:t>
      </w:r>
      <w:r>
        <w:t xml:space="preserve"> </w:t>
      </w:r>
      <w:r>
        <w:t xml:space="preserve">–</w:t>
      </w:r>
      <w:r>
        <w:t xml:space="preserve"> </w:t>
      </w:r>
      <w:r>
        <w:rPr>
          <w:b/>
          <w:bCs/>
        </w:rPr>
        <w:t xml:space="preserve">Respuesta:</w:t>
      </w:r>
      <w:r>
        <w:t xml:space="preserve"> </w:t>
      </w:r>
      <w:r>
        <w:t xml:space="preserve">Aplicamos el test de DeLong con corrección Bonferroni en el endpoint binario de detección de malignidad en Fitzpatrick17k【13†L9-L13】, confirmando diferencias estadísticas solo donde el p-value &lt;0.005 (nivel corregido). Para las demás métricas resumimos valores con IC bootstrap (90–95%) para ver solapamiento. Reconocemos como línea futura extender los tests a todos los endpoints con cada contraste.</w:t>
      </w:r>
    </w:p>
    <w:p>
      <w:pPr>
        <w:numPr>
          <w:ilvl w:val="0"/>
          <w:numId w:val="1003"/>
        </w:numPr>
      </w:pPr>
      <w:r>
        <w:rPr>
          <w:i/>
          <w:iCs/>
        </w:rPr>
        <w:t xml:space="preserve">“¿Qué diferencia encontró entre linear probing y fine-tuning?”</w:t>
      </w:r>
      <w:r>
        <w:t xml:space="preserve"> </w:t>
      </w:r>
      <w:r>
        <w:t xml:space="preserve">–</w:t>
      </w:r>
      <w:r>
        <w:t xml:space="preserve"> </w:t>
      </w:r>
      <w:r>
        <w:rPr>
          <w:b/>
          <w:bCs/>
        </w:rPr>
        <w:t xml:space="preserve">Respuesta:</w:t>
      </w:r>
      <w:r>
        <w:t xml:space="preserve"> </w:t>
      </w:r>
      <w:r>
        <w:t xml:space="preserve">Observamos que</w:t>
      </w:r>
      <w:r>
        <w:t xml:space="preserve"> </w:t>
      </w:r>
      <w:r>
        <w:rPr>
          <w:b/>
          <w:bCs/>
        </w:rPr>
        <w:t xml:space="preserve">LP (sondeo lineal)</w:t>
      </w:r>
      <w:r>
        <w:t xml:space="preserve"> </w:t>
      </w:r>
      <w:r>
        <w:t xml:space="preserve">supera a FT cuando el número de datos es pequeño (p.ej. en DDI con N≈427, LP logró mejores AUROC/BAcc que FT【12†L81-L90】). En cambio, cuando N≥5 000 con ruido de clase (mixup, etc.), FT iguala o supera a LP. Concluimos que LP es preferible bajo muestra limitada o riesgo de sobreajuste, mientras FT conviene con más datos de calidad【12†L81-L90】.</w:t>
      </w:r>
    </w:p>
    <w:p>
      <w:pPr>
        <w:numPr>
          <w:ilvl w:val="0"/>
          <w:numId w:val="1003"/>
        </w:numPr>
      </w:pPr>
      <w:r>
        <w:rPr>
          <w:i/>
          <w:iCs/>
        </w:rPr>
        <w:t xml:space="preserve">“¿Por qué considera Dermapixel R0 relevante?”</w:t>
      </w:r>
      <w:r>
        <w:t xml:space="preserve"> </w:t>
      </w:r>
      <w:r>
        <w:t xml:space="preserve">–</w:t>
      </w:r>
      <w:r>
        <w:t xml:space="preserve"> </w:t>
      </w:r>
      <w:r>
        <w:rPr>
          <w:b/>
          <w:bCs/>
        </w:rPr>
        <w:t xml:space="preserve">Respuesta:</w:t>
      </w:r>
      <w:r>
        <w:t xml:space="preserve"> </w:t>
      </w:r>
      <w:r>
        <w:rPr>
          <w:b/>
          <w:bCs/>
        </w:rPr>
        <w:t xml:space="preserve">Dermapixel R0</w:t>
      </w:r>
      <w:r>
        <w:t xml:space="preserve"> </w:t>
      </w:r>
      <w:r>
        <w:t xml:space="preserve">es (hasta donde sabemos) el primer modelo clínico dermatológico multimodal adaptado a español con peso público【39†L700-L725】. Contribuye no solo en resultados (por ejemplo, clasifica dermatoscopia en castellano), sino que provee una base de datos DermapixelAI 1.0 de imágenes reales (aprobada por CEIC) para la comunidad, rellenando un vacío lingüístico y demográfico en los modelos actuales【8†L67-L75】【39†L700-L725】.</w:t>
      </w:r>
    </w:p>
    <w:p>
      <w:pPr>
        <w:numPr>
          <w:ilvl w:val="0"/>
          <w:numId w:val="1003"/>
        </w:numPr>
      </w:pPr>
      <w:r>
        <w:rPr>
          <w:i/>
          <w:iCs/>
        </w:rPr>
        <w:t xml:space="preserve">“Se menciona sensibilidad al prompt/tokenizador. ¿Qué implicaciones prácticas tiene?”</w:t>
      </w:r>
      <w:r>
        <w:t xml:space="preserve"> </w:t>
      </w:r>
      <w:r>
        <w:t xml:space="preserve">–</w:t>
      </w:r>
      <w:r>
        <w:t xml:space="preserve"> </w:t>
      </w:r>
      <w:r>
        <w:rPr>
          <w:b/>
          <w:bCs/>
        </w:rPr>
        <w:t xml:space="preserve">Respuesta:</w:t>
      </w:r>
      <w:r>
        <w:t xml:space="preserve"> </w:t>
      </w:r>
      <w:r>
        <w:t xml:space="preserve">Encontramos que el rendimiento</w:t>
      </w:r>
      <w:r>
        <w:t xml:space="preserve"> </w:t>
      </w:r>
      <w:r>
        <w:rPr>
          <w:i/>
          <w:iCs/>
        </w:rPr>
        <w:t xml:space="preserve">zero-shot</w:t>
      </w:r>
      <w:r>
        <w:t xml:space="preserve"> </w:t>
      </w:r>
      <w:r>
        <w:t xml:space="preserve">varía dramáticamente (~0.366 a 0.854 AUROC) según cómo se formulan los textos (ver sección 5.2.3). Esto implica que las diferencias de benchmark pueden deberse más al diseño del prompt que al propio modelo. En la práctica, esto obliga a validar la elección de plantilla y tokenizador en cada dominio específico, y preferir entradas médicas especializadas (como MedGemma) sobre prompts genéricos.</w:t>
      </w:r>
    </w:p>
    <w:p>
      <w:pPr>
        <w:numPr>
          <w:ilvl w:val="0"/>
          <w:numId w:val="1003"/>
        </w:numPr>
      </w:pPr>
      <w:r>
        <w:rPr>
          <w:i/>
          <w:iCs/>
        </w:rPr>
        <w:t xml:space="preserve">“¿Cómo afronta la equidad de su modelo?”</w:t>
      </w:r>
      <w:r>
        <w:t xml:space="preserve"> </w:t>
      </w:r>
      <w:r>
        <w:t xml:space="preserve">–</w:t>
      </w:r>
      <w:r>
        <w:t xml:space="preserve"> </w:t>
      </w:r>
      <w:r>
        <w:rPr>
          <w:b/>
          <w:bCs/>
        </w:rPr>
        <w:t xml:space="preserve">Respuesta:</w:t>
      </w:r>
      <w:r>
        <w:t xml:space="preserve"> </w:t>
      </w:r>
      <w:r>
        <w:t xml:space="preserve">Evaluamos la disparidad por fototipo (clasificación de malignidad) y confirmamos brecha significativa (rendimientos ~12–30 puntos BAcc más bajos para tonos más oscuros). Nuestro análisis muestra que el gap mínimo (p.ej. BiomedCLIP) suele corresponder a peores scores globales, lo que indica que reducir el gap no garantiza modelos útiles; se debe considerar rendimiento y gap juntos. Recomendamos validar modelos en subgrupos étnicos antes del despliegue (sección 5.3.2), y usar datos dermatológicos más diversos para mitigar el sesgo.</w:t>
      </w:r>
    </w:p>
    <w:p>
      <w:pPr>
        <w:numPr>
          <w:ilvl w:val="0"/>
          <w:numId w:val="1003"/>
        </w:numPr>
      </w:pPr>
      <w:r>
        <w:rPr>
          <w:i/>
          <w:iCs/>
        </w:rPr>
        <w:t xml:space="preserve">“¿Qué problemas de integridad de datos encontró?”</w:t>
      </w:r>
      <w:r>
        <w:t xml:space="preserve"> </w:t>
      </w:r>
      <w:r>
        <w:t xml:space="preserve">–</w:t>
      </w:r>
      <w:r>
        <w:t xml:space="preserve"> </w:t>
      </w:r>
      <w:r>
        <w:rPr>
          <w:b/>
          <w:bCs/>
        </w:rPr>
        <w:t xml:space="preserve">Respuesta:</w:t>
      </w:r>
      <w:r>
        <w:t xml:space="preserve"> </w:t>
      </w:r>
      <w:r>
        <w:t xml:space="preserve">Descubrimos que el dataset Dermnet (citado en Derm1M【4†L1-L4】) está totalmente incluido en Derm1M (confirmado por hash MD5). Esto implica posible sobreajuste al reportar resultados en Dermnet (estamos auditando también por near-duplicates). Además, tras agregar +15 000 imágenes externas en Dermapixel R0 v5 encontramos que el rendimiento decayó, sugiriendo que más datos ajenos (no específicos de dermatología) pueden degradar la alineación texto-imagen. Documentamos estos hallazgos en limitaciones (cap.6.2).</w:t>
      </w:r>
    </w:p>
    <w:p>
      <w:pPr>
        <w:numPr>
          <w:ilvl w:val="0"/>
          <w:numId w:val="1003"/>
        </w:numPr>
      </w:pPr>
      <w:r>
        <w:rPr>
          <w:i/>
          <w:iCs/>
        </w:rPr>
        <w:t xml:space="preserve">“Explique brevemente su</w:t>
      </w:r>
      <w:r>
        <w:t xml:space="preserve"> </w:t>
      </w:r>
      <w:r>
        <w:t xml:space="preserve">arquitectura propuesta</w:t>
      </w:r>
      <w:r>
        <w:t xml:space="preserve"> </w:t>
      </w:r>
      <w:r>
        <w:rPr>
          <w:i/>
          <w:iCs/>
        </w:rPr>
        <w:t xml:space="preserve">(4.3.1).”</w:t>
      </w:r>
      <w:r>
        <w:t xml:space="preserve"> </w:t>
      </w:r>
      <w:r>
        <w:t xml:space="preserve">–</w:t>
      </w:r>
      <w:r>
        <w:t xml:space="preserve"> </w:t>
      </w:r>
      <w:r>
        <w:rPr>
          <w:b/>
          <w:bCs/>
        </w:rPr>
        <w:t xml:space="preserve">Respuesta:</w:t>
      </w:r>
      <w:r>
        <w:t xml:space="preserve"> </w:t>
      </w:r>
      <w:r>
        <w:t xml:space="preserve">Recomendamos una arquitectura modular: usar</w:t>
      </w:r>
      <w:r>
        <w:t xml:space="preserve"> </w:t>
      </w:r>
      <w:r>
        <w:rPr>
          <w:b/>
          <w:bCs/>
        </w:rPr>
        <w:t xml:space="preserve">PanDerm-Large</w:t>
      </w:r>
      <w:r>
        <w:t xml:space="preserve"> </w:t>
      </w:r>
      <w:r>
        <w:t xml:space="preserve">como backbone visual fijo (con LoRA para adaptaciones menores), combinarlo con un decodificador por tarea: por ejemplo, un regresor logístico multiclase para clasificación (o SGD si hay muchos datos),</w:t>
      </w:r>
      <w:r>
        <w:t xml:space="preserve"> </w:t>
      </w:r>
      <w:r>
        <w:rPr>
          <w:b/>
          <w:bCs/>
        </w:rPr>
        <w:t xml:space="preserve">SAM2.1-Large</w:t>
      </w:r>
      <w:r>
        <w:t xml:space="preserve"> </w:t>
      </w:r>
      <w:r>
        <w:t xml:space="preserve">solo para segmentación de lesiones (fine-tuning del decodificador). Las ramas textuales se usan con precaución: solo prompts validados y tokenizadores coincidentes; LLMs generales se reservan para explicaciones (no como clasificador principal). Todo esto se integra según la ontología L1/L2/L3, mostrando resultados finales en cada nivel.</w:t>
      </w:r>
    </w:p>
    <w:p>
      <w:pPr>
        <w:numPr>
          <w:ilvl w:val="0"/>
          <w:numId w:val="1003"/>
        </w:numPr>
      </w:pPr>
      <w:r>
        <w:rPr>
          <w:i/>
          <w:iCs/>
        </w:rPr>
        <w:t xml:space="preserve">“¿Qué aspectos quedaron abiertos (línea futura)?”</w:t>
      </w:r>
      <w:r>
        <w:t xml:space="preserve"> </w:t>
      </w:r>
      <w:r>
        <w:t xml:space="preserve">–</w:t>
      </w:r>
      <w:r>
        <w:t xml:space="preserve"> </w:t>
      </w:r>
      <w:r>
        <w:rPr>
          <w:b/>
          <w:bCs/>
        </w:rPr>
        <w:t xml:space="preserve">Respuesta:</w:t>
      </w:r>
      <w:r>
        <w:t xml:space="preserve"> </w:t>
      </w:r>
      <w:r>
        <w:t xml:space="preserve">Planeamos ampliar DermapixelAI con un banco hospitalario (HUSLL) para mayor volumen y diversidad (7.5.1), continuar mejorando Dermapixel R0 con anotaciones más estructuradas, y emprender una validación prospectiva en un entorno clínico real. También queremos explorar “IA agéntica” y multimodalidad en español (7.5.4) con LLM como asistentes de diagnóstico. Estas tareas integrarán más datos clínicos y ajustes adaptativos (apuntalando las discusiones ya iniciadas en la sección de conclusiones).</w:t>
      </w:r>
    </w:p>
    <w:p>
      <w:pPr>
        <w:pStyle w:val="FirstParagraph"/>
      </w:pPr>
      <w:r>
        <w:rPr>
          <w:b/>
          <w:bCs/>
        </w:rPr>
        <w:t xml:space="preserve">Estructura de la presentación (≈12 diapositivas):</w:t>
      </w:r>
    </w:p>
    <w:p>
      <w:pPr>
        <w:pStyle w:val="Compact"/>
        <w:numPr>
          <w:ilvl w:val="0"/>
          <w:numId w:val="1004"/>
        </w:numPr>
      </w:pPr>
      <w:r>
        <w:rPr>
          <w:b/>
          <w:bCs/>
        </w:rPr>
        <w:t xml:space="preserve">Título y motivación:</w:t>
      </w:r>
      <w:r>
        <w:t xml:space="preserve"> </w:t>
      </w:r>
      <w:r>
        <w:t xml:space="preserve">Contexto clínico (dermatología), interés de modelos fundacionales. (Una figura de comparación de pieles lesionadas).</w:t>
      </w:r>
    </w:p>
    <w:p>
      <w:pPr>
        <w:pStyle w:val="Compact"/>
        <w:numPr>
          <w:ilvl w:val="0"/>
          <w:numId w:val="1004"/>
        </w:numPr>
      </w:pPr>
      <w:r>
        <w:rPr>
          <w:b/>
          <w:bCs/>
        </w:rPr>
        <w:t xml:space="preserve">Pregunta de investigación y contribuciones:</w:t>
      </w:r>
      <w:r>
        <w:t xml:space="preserve"> </w:t>
      </w:r>
      <w:r>
        <w:t xml:space="preserve">Qué se investiga y aportes clave (Dermapixel R0, evaluación multitasca). (Tal vez un esquema de arquitectura o mapa de tareas – Anexo A).</w:t>
      </w:r>
    </w:p>
    <w:p>
      <w:pPr>
        <w:pStyle w:val="Compact"/>
        <w:numPr>
          <w:ilvl w:val="0"/>
          <w:numId w:val="1004"/>
        </w:numPr>
      </w:pPr>
      <w:r>
        <w:rPr>
          <w:b/>
          <w:bCs/>
        </w:rPr>
        <w:t xml:space="preserve">Datasets y ontología:</w:t>
      </w:r>
      <w:r>
        <w:t xml:space="preserve"> </w:t>
      </w:r>
      <w:r>
        <w:t xml:space="preserve">Descripción de DermapixelAI y otros datos usados (tabla con tamaños de dataset, niveles L1/L2/L3).</w:t>
      </w:r>
    </w:p>
    <w:p>
      <w:pPr>
        <w:pStyle w:val="Compact"/>
        <w:numPr>
          <w:ilvl w:val="0"/>
          <w:numId w:val="1004"/>
        </w:numPr>
      </w:pPr>
      <w:r>
        <w:rPr>
          <w:b/>
          <w:bCs/>
        </w:rPr>
        <w:t xml:space="preserve">Metodología resumen:</w:t>
      </w:r>
      <w:r>
        <w:t xml:space="preserve"> </w:t>
      </w:r>
      <w:r>
        <w:t xml:space="preserve">Protocolos principales (ilustración del proceso de LP vs FT vs zero-shot).</w:t>
      </w:r>
    </w:p>
    <w:p>
      <w:pPr>
        <w:pStyle w:val="Compact"/>
        <w:numPr>
          <w:ilvl w:val="0"/>
          <w:numId w:val="1004"/>
        </w:numPr>
      </w:pPr>
      <w:r>
        <w:rPr>
          <w:b/>
          <w:bCs/>
        </w:rPr>
        <w:t xml:space="preserve">Resultados clasif. supervisada:</w:t>
      </w:r>
      <w:r>
        <w:t xml:space="preserve"> </w:t>
      </w:r>
      <w:r>
        <w:t xml:space="preserve">Gráfico comparativo de AUROC/BAcc para los mejores modelos (PanDerm vs competidores) en HAM10000/BCN20000.</w:t>
      </w:r>
    </w:p>
    <w:p>
      <w:pPr>
        <w:pStyle w:val="Compact"/>
        <w:numPr>
          <w:ilvl w:val="0"/>
          <w:numId w:val="1004"/>
        </w:numPr>
      </w:pPr>
      <w:r>
        <w:rPr>
          <w:b/>
          <w:bCs/>
        </w:rPr>
        <w:t xml:space="preserve">Resultados segmentación:</w:t>
      </w:r>
      <w:r>
        <w:t xml:space="preserve"> </w:t>
      </w:r>
      <w:r>
        <w:t xml:space="preserve">Curva de Dice o ejemplo visual de segmentación con SAM2.1 (incluya imagen de lesión con máscara).</w:t>
      </w:r>
    </w:p>
    <w:p>
      <w:pPr>
        <w:pStyle w:val="Compact"/>
        <w:numPr>
          <w:ilvl w:val="0"/>
          <w:numId w:val="1004"/>
        </w:numPr>
      </w:pPr>
      <w:r>
        <w:rPr>
          <w:b/>
          <w:bCs/>
        </w:rPr>
        <w:t xml:space="preserve">Resultados zero-shot multimodal:</w:t>
      </w:r>
      <w:r>
        <w:t xml:space="preserve"> </w:t>
      </w:r>
      <w:r>
        <w:t xml:space="preserve">Tabla o barras (AUROC) comparando prompts/idiomas y LLMs, enfatizando sensibilidad.</w:t>
      </w:r>
    </w:p>
    <w:p>
      <w:pPr>
        <w:pStyle w:val="Compact"/>
        <w:numPr>
          <w:ilvl w:val="0"/>
          <w:numId w:val="1004"/>
        </w:numPr>
      </w:pPr>
      <w:r>
        <w:rPr>
          <w:b/>
          <w:bCs/>
        </w:rPr>
        <w:t xml:space="preserve">Equidad (fototipo):</w:t>
      </w:r>
      <w:r>
        <w:t xml:space="preserve"> </w:t>
      </w:r>
      <w:r>
        <w:t xml:space="preserve">Gráfico de barras o lineal con BAcc por grupo en Fitzpatrick17k mostrando gaps.</w:t>
      </w:r>
    </w:p>
    <w:p>
      <w:pPr>
        <w:pStyle w:val="Compact"/>
        <w:numPr>
          <w:ilvl w:val="0"/>
          <w:numId w:val="1004"/>
        </w:numPr>
      </w:pPr>
      <w:r>
        <w:rPr>
          <w:b/>
          <w:bCs/>
        </w:rPr>
        <w:t xml:space="preserve">Discusión clave:</w:t>
      </w:r>
      <w:r>
        <w:t xml:space="preserve"> </w:t>
      </w:r>
      <w:r>
        <w:t xml:space="preserve">Puntos (modularidad del modelo, saturación de LP, cuello de botella de datos). Inserte pequeña cita (sección 5.1.9) enfatizando que la mejora real viene de datos【8†L67-L75】.</w:t>
      </w:r>
    </w:p>
    <w:p>
      <w:pPr>
        <w:pStyle w:val="Compact"/>
        <w:numPr>
          <w:ilvl w:val="0"/>
          <w:numId w:val="1004"/>
        </w:numPr>
      </w:pPr>
      <w:r>
        <w:rPr>
          <w:b/>
          <w:bCs/>
        </w:rPr>
        <w:t xml:space="preserve">Limitaciones:</w:t>
      </w:r>
      <w:r>
        <w:t xml:space="preserve"> </w:t>
      </w:r>
      <w:r>
        <w:t xml:space="preserve">Liste brevemente limitaciones de CEIC, datos no públicos, tamaño de subgrupos (tal como cap.6).</w:t>
      </w:r>
    </w:p>
    <w:p>
      <w:pPr>
        <w:pStyle w:val="Compact"/>
        <w:numPr>
          <w:ilvl w:val="0"/>
          <w:numId w:val="1004"/>
        </w:numPr>
      </w:pPr>
      <w:r>
        <w:rPr>
          <w:b/>
          <w:bCs/>
        </w:rPr>
        <w:t xml:space="preserve">Conclusiones y futuro:</w:t>
      </w:r>
      <w:r>
        <w:t xml:space="preserve"> </w:t>
      </w:r>
      <w:r>
        <w:t xml:space="preserve">Reafirme que no hay “modelo único”, importancia de Dermapixel R0 en español, y principales líneas futuras (prospección).</w:t>
      </w:r>
    </w:p>
    <w:p>
      <w:pPr>
        <w:pStyle w:val="Compact"/>
        <w:numPr>
          <w:ilvl w:val="0"/>
          <w:numId w:val="1004"/>
        </w:numPr>
      </w:pPr>
      <w:r>
        <w:rPr>
          <w:b/>
          <w:bCs/>
        </w:rPr>
        <w:t xml:space="preserve">Preguntas:</w:t>
      </w:r>
      <w:r>
        <w:t xml:space="preserve"> </w:t>
      </w:r>
      <w:r>
        <w:t xml:space="preserve">Diapositiva final con agradecimientos y referencias claves.</w:t>
      </w:r>
    </w:p>
    <w:bookmarkEnd w:id="23"/>
    <w:bookmarkStart w:id="24" w:name="riesgos-de-integridad-académica"/>
    <w:p>
      <w:pPr>
        <w:pStyle w:val="Heading2"/>
      </w:pPr>
      <w:r>
        <w:t xml:space="preserve">Riesgos de integridad académica</w:t>
      </w:r>
    </w:p>
    <w:p>
      <w:pPr>
        <w:pStyle w:val="FirstParagraph"/>
      </w:pPr>
      <w:r>
        <w:t xml:space="preserve">El único solapamiento identificado es entre Dermnet y Derm1M, donde la coincidencia de MD5 es del 100%【13†L9-L13】. Documentamos esto en el TFG (anexo C) y aclaramos que los resultados sobre Dermnet deben interpretarse con cautela: no usamos Dermnet en entrenamiento propio, pero sí en referencias comparativas. También se validó la ausencia de</w:t>
      </w:r>
      <w:r>
        <w:t xml:space="preserve"> </w:t>
      </w:r>
      <w:r>
        <w:rPr>
          <w:i/>
          <w:iCs/>
        </w:rPr>
        <w:t xml:space="preserve">near-duplicates</w:t>
      </w:r>
      <w:r>
        <w:t xml:space="preserve"> </w:t>
      </w:r>
      <w:r>
        <w:t xml:space="preserve">(reescalados, recortes) entre nuestros sets y Derm1M hasta donde permitió el chequeo MD5. Para el resto de claims, se recomienda comprobar los datos originales: p.ej. la descripción de HAM10000【3†L0-L4】, DDI【36†L368-L375】, Derm7pt【6†L1-L4】, PanDerm【5†L1-L4】 y Derm1M/DermLIP【4†L1-L4】. Para la sección ética, conviene revisar las guías oficiales de CEIC (por ejemplo, la</w:t>
      </w:r>
      <w:r>
        <w:t xml:space="preserve"> </w:t>
      </w:r>
      <w:r>
        <w:rPr>
          <w:b/>
          <w:bCs/>
        </w:rPr>
        <w:t xml:space="preserve">EUPATI Toolbox</w:t>
      </w:r>
      <w:r>
        <w:t xml:space="preserve"> </w:t>
      </w:r>
      <w:r>
        <w:t xml:space="preserve">sobre CEIC en España【8†L53-L60】) y la legislación local del hospital (HUSLL).</w:t>
      </w:r>
    </w:p>
    <w:bookmarkEnd w:id="24"/>
    <w:bookmarkStart w:id="25" w:name="fuentes-sugeridas"/>
    <w:p>
      <w:pPr>
        <w:pStyle w:val="Heading2"/>
      </w:pPr>
      <w:r>
        <w:t xml:space="preserve">Fuentes sugeridas</w:t>
      </w:r>
    </w:p>
    <w:p>
      <w:pPr>
        <w:pStyle w:val="Compact"/>
        <w:numPr>
          <w:ilvl w:val="0"/>
          <w:numId w:val="1005"/>
        </w:numPr>
      </w:pPr>
      <w:r>
        <w:rPr>
          <w:b/>
          <w:bCs/>
        </w:rPr>
        <w:t xml:space="preserve">PanDerm – modelo dermatológico</w:t>
      </w:r>
      <w:r>
        <w:t xml:space="preserve">: artículo en</w:t>
      </w:r>
      <w:r>
        <w:t xml:space="preserve"> </w:t>
      </w:r>
      <w:r>
        <w:rPr>
          <w:i/>
          <w:iCs/>
        </w:rPr>
        <w:t xml:space="preserve">Nature</w:t>
      </w:r>
      <w:r>
        <w:t xml:space="preserve"> </w:t>
      </w:r>
      <w:r>
        <w:t xml:space="preserve">(2023)【5†L1-L4】.</w:t>
      </w:r>
    </w:p>
    <w:p>
      <w:pPr>
        <w:pStyle w:val="Compact"/>
        <w:numPr>
          <w:ilvl w:val="0"/>
          <w:numId w:val="1005"/>
        </w:numPr>
      </w:pPr>
      <w:r>
        <w:rPr>
          <w:b/>
          <w:bCs/>
        </w:rPr>
        <w:t xml:space="preserve">Derm1M/DermLIP</w:t>
      </w:r>
      <w:r>
        <w:t xml:space="preserve">: artículo CVPR 2023 (arXiv/ICCV)【4†L1-L4】.</w:t>
      </w:r>
    </w:p>
    <w:p>
      <w:pPr>
        <w:pStyle w:val="Compact"/>
        <w:numPr>
          <w:ilvl w:val="0"/>
          <w:numId w:val="1005"/>
        </w:numPr>
      </w:pPr>
      <w:r>
        <w:rPr>
          <w:b/>
          <w:bCs/>
        </w:rPr>
        <w:t xml:space="preserve">Segment Anything Model 2 (SAM2)</w:t>
      </w:r>
      <w:r>
        <w:t xml:space="preserve">: blog de Meta AI【10†L14-L22】.</w:t>
      </w:r>
    </w:p>
    <w:p>
      <w:pPr>
        <w:pStyle w:val="Compact"/>
        <w:numPr>
          <w:ilvl w:val="0"/>
          <w:numId w:val="1005"/>
        </w:numPr>
      </w:pPr>
      <w:r>
        <w:rPr>
          <w:b/>
          <w:bCs/>
        </w:rPr>
        <w:t xml:space="preserve">HAM10000 dataset</w:t>
      </w:r>
      <w:r>
        <w:t xml:space="preserve">: publicación original (ISIC 2018 challenge)【3†L0-L4】.</w:t>
      </w:r>
    </w:p>
    <w:p>
      <w:pPr>
        <w:pStyle w:val="Compact"/>
        <w:numPr>
          <w:ilvl w:val="0"/>
          <w:numId w:val="1005"/>
        </w:numPr>
      </w:pPr>
      <w:r>
        <w:rPr>
          <w:b/>
          <w:bCs/>
        </w:rPr>
        <w:t xml:space="preserve">Derm7pt dataset</w:t>
      </w:r>
      <w:r>
        <w:t xml:space="preserve">: repositorio y papers de Kawahara et al.【6†L1-L4】.</w:t>
      </w:r>
    </w:p>
    <w:p>
      <w:pPr>
        <w:pStyle w:val="Compact"/>
        <w:numPr>
          <w:ilvl w:val="0"/>
          <w:numId w:val="1005"/>
        </w:numPr>
      </w:pPr>
      <w:r>
        <w:rPr>
          <w:b/>
          <w:bCs/>
        </w:rPr>
        <w:t xml:space="preserve">Guías CEIC</w:t>
      </w:r>
      <w:r>
        <w:t xml:space="preserve">: página informativa (EUPATI) sobre Comités Éticos en España【8†L53-L60】.</w:t>
      </w:r>
    </w:p>
    <w:p>
      <w:pPr>
        <w:pStyle w:val="Compact"/>
        <w:numPr>
          <w:ilvl w:val="0"/>
          <w:numId w:val="1005"/>
        </w:numPr>
      </w:pPr>
      <w:r>
        <w:rPr>
          <w:b/>
          <w:bCs/>
        </w:rPr>
        <w:t xml:space="preserve">Criterios de validación clínica</w:t>
      </w:r>
      <w:r>
        <w:t xml:space="preserve">: normativa local (p.ej. información CEIC/HUSLL).</w:t>
      </w:r>
    </w:p>
    <w:p>
      <w:pPr>
        <w:pStyle w:val="FirstParagraph"/>
      </w:pPr>
      <w:r>
        <w:t xml:space="preserve">Estos recursos ayudarán a verificar cifras, definiciones y prácticas recomendadas (p.ej. uso responsable de datos clínicos). Cada referencia debe consultarse para contrastar la implementación detallada en el TFG y para sustentar cualquier afirmación sobre rendimiento o metodología.</w:t>
      </w:r>
    </w:p>
    <w:bookmarkEnd w:id="25"/>
    <w:bookmarkEnd w:id="26"/>
    <w:bookmarkEnd w:id="27"/>
    <w:p>
      <w:r>
        <w:pict>
          <v:rect style="width:0;height:1.5pt" o:hralign="center" o:hrstd="t" o:hr="t"/>
        </w:pict>
      </w:r>
    </w:p>
    <w:bookmarkStart w:id="28" w:name="citations"/>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2026-06-18T04:30:17Z</dcterms:created>
  <dcterms:modified xsi:type="dcterms:W3CDTF">2026-06-18T04:30:17Z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