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F4E79"/>
        </w:rPr>
        <w:t>Charge-Sheet Extraction</w:t>
        <w:br/>
        <w:t>Authentication Replacement Guide</w:t>
      </w:r>
    </w:p>
    <w:p>
      <w:r>
        <w:rPr>
          <w:b/>
          <w:sz w:val="22"/>
        </w:rPr>
        <w:t>Purpose</w:t>
      </w:r>
      <w:r>
        <w:t xml:space="preserve">  This document explains how authentication currently works in the charge-sheet extraction package and how to replace the existing shared 834 Labs authentication when the service is moved to a new environment, client subscription, or secret-management model.</w:t>
      </w:r>
    </w:p>
    <w:tbl>
      <w:tblPr>
        <w:tblW w:type="auto" w:w="0"/>
        <w:jc w:val="center"/>
        <w:tblLayout w:type="fixed"/>
        <w:tblLook w:firstColumn="1" w:firstRow="1" w:lastColumn="0" w:lastRow="0" w:noHBand="0" w:noVBand="1" w:val="04A0"/>
      </w:tblPr>
      <w:tblGrid>
        <w:gridCol w:w="9936"/>
      </w:tblGrid>
      <w:tr>
        <w:trPr>
          <w:cantSplit/>
        </w:trPr>
        <w:tc>
          <w:tcPr>
            <w:tcW w:type="dxa" w:w="10080"/>
            <w:shd w:fill="EAF2F8"/>
            <w:tcMar>
              <w:top w:w="120" w:type="dxa"/>
              <w:start w:w="140" w:type="dxa"/>
              <w:bottom w:w="120" w:type="dxa"/>
              <w:end w:w="140" w:type="dxa"/>
            </w:tcMar>
          </w:tcPr>
          <w:p>
            <w:r>
              <w:rPr>
                <w:b/>
              </w:rPr>
              <w:t xml:space="preserve">Key point: </w:t>
            </w:r>
            <w:r>
              <w:t>authentication can be replaced without changing the extraction, template, circle-detection, manual-review, or output logic. The replacement is isolated to the model-client authentication layer.</w:t>
            </w:r>
          </w:p>
        </w:tc>
      </w:tr>
    </w:tbl>
    <w:p/>
    <w:p>
      <w:pPr>
        <w:pStyle w:val="Heading1"/>
      </w:pPr>
      <w:r>
        <w:t>1. Current Authentication Flow</w:t>
      </w:r>
    </w:p>
    <w:p>
      <w:r>
        <w:t>The current package uses one shared model client for both header/notes extraction and constrained visual mark review. The client is created in model_client.py.</w:t>
      </w:r>
    </w:p>
    <w:p>
      <w:pPr>
        <w:pStyle w:val="CodeBlock"/>
      </w:pPr>
      <w:r>
        <w:t>run.py</w:t>
        <w:br/>
        <w:t xml:space="preserve">  ↓</w:t>
        <w:br/>
        <w:t>model_client.make_client()</w:t>
        <w:br/>
        <w:t xml:space="preserve">  ├─ If ANTHROPIC_API_KEY is explicitly supplied:</w:t>
        <w:br/>
        <w:t xml:space="preserve">  │    → use the supplied API key</w:t>
        <w:br/>
        <w:t xml:space="preserve">  │    → optionally use ANTHROPIC_BASE_URL</w:t>
        <w:br/>
        <w:t xml:space="preserve">  │</w:t>
        <w:br/>
        <w:t xml:space="preserve">  └─ Otherwise:</w:t>
        <w:br/>
        <w:t xml:space="preserve">       → auth.py</w:t>
        <w:br/>
        <w:t xml:space="preserve">       → DefaultAzureCredential</w:t>
        <w:br/>
        <w:t xml:space="preserve">       → Azure Key Vault</w:t>
        <w:br/>
        <w:t xml:space="preserve">       → retrieve Anthropic credential</w:t>
        <w:br/>
        <w:t xml:space="preserve">       → AnthropicFoundry client</w:t>
        <w:br/>
        <w:t xml:space="preserve">       → configured Foundry endpoint</w:t>
      </w:r>
    </w:p>
    <w:p>
      <w:r>
        <w:t>For the current internal workflow, a developer normally runs az login. DefaultAzureCredential uses that Azure identity locally, reads the Anthropic credential from the shared Key Vault, and creates the Anthropic Foundry client. The secret value itself is not stored in the source package.</w:t>
      </w:r>
    </w:p>
    <w:p>
      <w:pPr>
        <w:pStyle w:val="Heading1"/>
      </w:pPr>
      <w:r>
        <w:t>2. What Must Be Replaced</w:t>
      </w:r>
    </w:p>
    <w:p>
      <w:r>
        <w:t>The current auth.py contains organization-specific fallback configuration. These values are convenient for the internal environment, but they must not be assumed when the application is transferred.</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D9EAF7"/>
            <w:vAlign w:val="center"/>
          </w:tcPr>
          <w:p>
            <w:r>
              <w:rPr>
                <w:b/>
                <w:sz w:val="17"/>
              </w:rPr>
              <w:t>Configuration</w:t>
            </w:r>
          </w:p>
        </w:tc>
        <w:tc>
          <w:tcPr>
            <w:tcW w:type="dxa" w:w="2520"/>
            <w:shd w:fill="D9EAF7"/>
            <w:vAlign w:val="center"/>
          </w:tcPr>
          <w:p>
            <w:r>
              <w:rPr>
                <w:b/>
                <w:sz w:val="17"/>
              </w:rPr>
              <w:t>Environment Variable</w:t>
            </w:r>
          </w:p>
        </w:tc>
        <w:tc>
          <w:tcPr>
            <w:tcW w:type="dxa" w:w="2520"/>
            <w:shd w:fill="D9EAF7"/>
            <w:vAlign w:val="center"/>
          </w:tcPr>
          <w:p>
            <w:r>
              <w:rPr>
                <w:b/>
                <w:sz w:val="17"/>
              </w:rPr>
              <w:t>Current Role</w:t>
            </w:r>
          </w:p>
        </w:tc>
        <w:tc>
          <w:tcPr>
            <w:tcW w:type="dxa" w:w="2520"/>
            <w:shd w:fill="D9EAF7"/>
            <w:vAlign w:val="center"/>
          </w:tcPr>
          <w:p>
            <w:r>
              <w:rPr>
                <w:b/>
                <w:sz w:val="17"/>
              </w:rPr>
              <w:t>Replacement Action</w:t>
            </w:r>
          </w:p>
        </w:tc>
      </w:tr>
      <w:tr>
        <w:trPr>
          <w:cantSplit/>
        </w:trPr>
        <w:tc>
          <w:tcPr>
            <w:tcW w:type="dxa" w:w="2520"/>
            <w:tcMar>
              <w:top w:w="70" w:type="dxa"/>
              <w:start w:w="75" w:type="dxa"/>
              <w:bottom w:w="70" w:type="dxa"/>
              <w:end w:w="75" w:type="dxa"/>
            </w:tcMar>
          </w:tcPr>
          <w:p>
            <w:r>
              <w:rPr>
                <w:sz w:val="16"/>
              </w:rPr>
              <w:t>Key Vault URL</w:t>
            </w:r>
          </w:p>
        </w:tc>
        <w:tc>
          <w:tcPr>
            <w:tcW w:type="dxa" w:w="2520"/>
            <w:tcMar>
              <w:top w:w="70" w:type="dxa"/>
              <w:start w:w="75" w:type="dxa"/>
              <w:bottom w:w="70" w:type="dxa"/>
              <w:end w:w="75" w:type="dxa"/>
            </w:tcMar>
          </w:tcPr>
          <w:p>
            <w:r>
              <w:rPr>
                <w:sz w:val="16"/>
              </w:rPr>
              <w:t>AZURE_KEY_VAULT_URL</w:t>
            </w:r>
          </w:p>
        </w:tc>
        <w:tc>
          <w:tcPr>
            <w:tcW w:type="dxa" w:w="2520"/>
            <w:tcMar>
              <w:top w:w="70" w:type="dxa"/>
              <w:start w:w="75" w:type="dxa"/>
              <w:bottom w:w="70" w:type="dxa"/>
              <w:end w:w="75" w:type="dxa"/>
            </w:tcMar>
          </w:tcPr>
          <w:p>
            <w:r>
              <w:rPr>
                <w:sz w:val="16"/>
              </w:rPr>
              <w:t>Points to the shared internal vault</w:t>
            </w:r>
          </w:p>
        </w:tc>
        <w:tc>
          <w:tcPr>
            <w:tcW w:type="dxa" w:w="2520"/>
            <w:tcMar>
              <w:top w:w="70" w:type="dxa"/>
              <w:start w:w="75" w:type="dxa"/>
              <w:bottom w:w="70" w:type="dxa"/>
              <w:end w:w="75" w:type="dxa"/>
            </w:tcMar>
          </w:tcPr>
          <w:p>
            <w:r>
              <w:rPr>
                <w:sz w:val="16"/>
              </w:rPr>
              <w:t>Set to the target environment's Key Vault.</w:t>
            </w:r>
          </w:p>
        </w:tc>
      </w:tr>
      <w:tr>
        <w:trPr>
          <w:cantSplit/>
        </w:trPr>
        <w:tc>
          <w:tcPr>
            <w:tcW w:type="dxa" w:w="2520"/>
            <w:tcMar>
              <w:top w:w="70" w:type="dxa"/>
              <w:start w:w="75" w:type="dxa"/>
              <w:bottom w:w="70" w:type="dxa"/>
              <w:end w:w="75" w:type="dxa"/>
            </w:tcMar>
          </w:tcPr>
          <w:p>
            <w:r>
              <w:rPr>
                <w:sz w:val="16"/>
              </w:rPr>
              <w:t>Secret name</w:t>
            </w:r>
          </w:p>
        </w:tc>
        <w:tc>
          <w:tcPr>
            <w:tcW w:type="dxa" w:w="2520"/>
            <w:tcMar>
              <w:top w:w="70" w:type="dxa"/>
              <w:start w:w="75" w:type="dxa"/>
              <w:bottom w:w="70" w:type="dxa"/>
              <w:end w:w="75" w:type="dxa"/>
            </w:tcMar>
          </w:tcPr>
          <w:p>
            <w:r>
              <w:rPr>
                <w:sz w:val="16"/>
              </w:rPr>
              <w:t>ANTHROPIC_KEY_SECRET</w:t>
            </w:r>
          </w:p>
        </w:tc>
        <w:tc>
          <w:tcPr>
            <w:tcW w:type="dxa" w:w="2520"/>
            <w:tcMar>
              <w:top w:w="70" w:type="dxa"/>
              <w:start w:w="75" w:type="dxa"/>
              <w:bottom w:w="70" w:type="dxa"/>
              <w:end w:w="75" w:type="dxa"/>
            </w:tcMar>
          </w:tcPr>
          <w:p>
            <w:r>
              <w:rPr>
                <w:sz w:val="16"/>
              </w:rPr>
              <w:t>Names the secret containing the Anthropic credential</w:t>
            </w:r>
          </w:p>
        </w:tc>
        <w:tc>
          <w:tcPr>
            <w:tcW w:type="dxa" w:w="2520"/>
            <w:tcMar>
              <w:top w:w="70" w:type="dxa"/>
              <w:start w:w="75" w:type="dxa"/>
              <w:bottom w:w="70" w:type="dxa"/>
              <w:end w:w="75" w:type="dxa"/>
            </w:tcMar>
          </w:tcPr>
          <w:p>
            <w:r>
              <w:rPr>
                <w:sz w:val="16"/>
              </w:rPr>
              <w:t>Create/use the target secret name.</w:t>
            </w:r>
          </w:p>
        </w:tc>
      </w:tr>
      <w:tr>
        <w:trPr>
          <w:cantSplit/>
        </w:trPr>
        <w:tc>
          <w:tcPr>
            <w:tcW w:type="dxa" w:w="2520"/>
            <w:tcMar>
              <w:top w:w="70" w:type="dxa"/>
              <w:start w:w="75" w:type="dxa"/>
              <w:bottom w:w="70" w:type="dxa"/>
              <w:end w:w="75" w:type="dxa"/>
            </w:tcMar>
          </w:tcPr>
          <w:p>
            <w:r>
              <w:rPr>
                <w:sz w:val="16"/>
              </w:rPr>
              <w:t>Foundry endpoint</w:t>
            </w:r>
          </w:p>
        </w:tc>
        <w:tc>
          <w:tcPr>
            <w:tcW w:type="dxa" w:w="2520"/>
            <w:tcMar>
              <w:top w:w="70" w:type="dxa"/>
              <w:start w:w="75" w:type="dxa"/>
              <w:bottom w:w="70" w:type="dxa"/>
              <w:end w:w="75" w:type="dxa"/>
            </w:tcMar>
          </w:tcPr>
          <w:p>
            <w:r>
              <w:rPr>
                <w:sz w:val="16"/>
              </w:rPr>
              <w:t>ANTHROPIC_FOUNDRY_ENDPOINT</w:t>
            </w:r>
          </w:p>
        </w:tc>
        <w:tc>
          <w:tcPr>
            <w:tcW w:type="dxa" w:w="2520"/>
            <w:tcMar>
              <w:top w:w="70" w:type="dxa"/>
              <w:start w:w="75" w:type="dxa"/>
              <w:bottom w:w="70" w:type="dxa"/>
              <w:end w:w="75" w:type="dxa"/>
            </w:tcMar>
          </w:tcPr>
          <w:p>
            <w:r>
              <w:rPr>
                <w:sz w:val="16"/>
              </w:rPr>
              <w:t>Points to the internal Anthropic Foundry endpoint</w:t>
            </w:r>
          </w:p>
        </w:tc>
        <w:tc>
          <w:tcPr>
            <w:tcW w:type="dxa" w:w="2520"/>
            <w:tcMar>
              <w:top w:w="70" w:type="dxa"/>
              <w:start w:w="75" w:type="dxa"/>
              <w:bottom w:w="70" w:type="dxa"/>
              <w:end w:w="75" w:type="dxa"/>
            </w:tcMar>
          </w:tcPr>
          <w:p>
            <w:r>
              <w:rPr>
                <w:sz w:val="16"/>
              </w:rPr>
              <w:t>Set to the target Azure AI/Foundry endpoint.</w:t>
            </w:r>
          </w:p>
        </w:tc>
      </w:tr>
      <w:tr>
        <w:trPr>
          <w:cantSplit/>
        </w:trPr>
        <w:tc>
          <w:tcPr>
            <w:tcW w:type="dxa" w:w="2520"/>
            <w:tcMar>
              <w:top w:w="70" w:type="dxa"/>
              <w:start w:w="75" w:type="dxa"/>
              <w:bottom w:w="70" w:type="dxa"/>
              <w:end w:w="75" w:type="dxa"/>
            </w:tcMar>
          </w:tcPr>
          <w:p>
            <w:r>
              <w:rPr>
                <w:sz w:val="16"/>
              </w:rPr>
              <w:t>Runtime Azure identity</w:t>
            </w:r>
          </w:p>
        </w:tc>
        <w:tc>
          <w:tcPr>
            <w:tcW w:type="dxa" w:w="2520"/>
            <w:tcMar>
              <w:top w:w="70" w:type="dxa"/>
              <w:start w:w="75" w:type="dxa"/>
              <w:bottom w:w="70" w:type="dxa"/>
              <w:end w:w="75" w:type="dxa"/>
            </w:tcMar>
          </w:tcPr>
          <w:p>
            <w:r>
              <w:rPr>
                <w:sz w:val="16"/>
              </w:rPr>
              <w:t>DefaultAzureCredential</w:t>
            </w:r>
          </w:p>
        </w:tc>
        <w:tc>
          <w:tcPr>
            <w:tcW w:type="dxa" w:w="2520"/>
            <w:tcMar>
              <w:top w:w="70" w:type="dxa"/>
              <w:start w:w="75" w:type="dxa"/>
              <w:bottom w:w="70" w:type="dxa"/>
              <w:end w:w="75" w:type="dxa"/>
            </w:tcMar>
          </w:tcPr>
          <w:p>
            <w:r>
              <w:rPr>
                <w:sz w:val="16"/>
              </w:rPr>
              <w:t>Uses az login locally and Azure identity sources in deployment</w:t>
            </w:r>
          </w:p>
        </w:tc>
        <w:tc>
          <w:tcPr>
            <w:tcW w:type="dxa" w:w="2520"/>
            <w:tcMar>
              <w:top w:w="70" w:type="dxa"/>
              <w:start w:w="75" w:type="dxa"/>
              <w:bottom w:w="70" w:type="dxa"/>
              <w:end w:w="75" w:type="dxa"/>
            </w:tcMar>
          </w:tcPr>
          <w:p>
            <w:r>
              <w:rPr>
                <w:sz w:val="16"/>
              </w:rPr>
              <w:t>Use target user identity for local work and Managed Identity/service principal for deployment.</w:t>
            </w:r>
          </w:p>
        </w:tc>
      </w:tr>
      <w:tr>
        <w:trPr>
          <w:cantSplit/>
        </w:trPr>
        <w:tc>
          <w:tcPr>
            <w:tcW w:type="dxa" w:w="2520"/>
            <w:tcMar>
              <w:top w:w="70" w:type="dxa"/>
              <w:start w:w="75" w:type="dxa"/>
              <w:bottom w:w="70" w:type="dxa"/>
              <w:end w:w="75" w:type="dxa"/>
            </w:tcMar>
          </w:tcPr>
          <w:p>
            <w:r>
              <w:rPr>
                <w:sz w:val="16"/>
              </w:rPr>
              <w:t>Direct API key override</w:t>
            </w:r>
          </w:p>
        </w:tc>
        <w:tc>
          <w:tcPr>
            <w:tcW w:type="dxa" w:w="2520"/>
            <w:tcMar>
              <w:top w:w="70" w:type="dxa"/>
              <w:start w:w="75" w:type="dxa"/>
              <w:bottom w:w="70" w:type="dxa"/>
              <w:end w:w="75" w:type="dxa"/>
            </w:tcMar>
          </w:tcPr>
          <w:p>
            <w:r>
              <w:rPr>
                <w:sz w:val="16"/>
              </w:rPr>
              <w:t>ANTHROPIC_API_KEY</w:t>
            </w:r>
          </w:p>
        </w:tc>
        <w:tc>
          <w:tcPr>
            <w:tcW w:type="dxa" w:w="2520"/>
            <w:tcMar>
              <w:top w:w="70" w:type="dxa"/>
              <w:start w:w="75" w:type="dxa"/>
              <w:bottom w:w="70" w:type="dxa"/>
              <w:end w:w="75" w:type="dxa"/>
            </w:tcMar>
          </w:tcPr>
          <w:p>
            <w:r>
              <w:rPr>
                <w:sz w:val="16"/>
              </w:rPr>
              <w:t>Optional bypass of Key Vault auth</w:t>
            </w:r>
          </w:p>
        </w:tc>
        <w:tc>
          <w:tcPr>
            <w:tcW w:type="dxa" w:w="2520"/>
            <w:tcMar>
              <w:top w:w="70" w:type="dxa"/>
              <w:start w:w="75" w:type="dxa"/>
              <w:bottom w:w="70" w:type="dxa"/>
              <w:end w:w="75" w:type="dxa"/>
            </w:tcMar>
          </w:tcPr>
          <w:p>
            <w:r>
              <w:rPr>
                <w:sz w:val="16"/>
              </w:rPr>
              <w:t>Use only if the target environment intentionally chooses direct-key auth.</w:t>
            </w:r>
          </w:p>
        </w:tc>
      </w:tr>
      <w:tr>
        <w:trPr>
          <w:cantSplit/>
        </w:trPr>
        <w:tc>
          <w:tcPr>
            <w:tcW w:type="dxa" w:w="2520"/>
            <w:tcMar>
              <w:top w:w="70" w:type="dxa"/>
              <w:start w:w="75" w:type="dxa"/>
              <w:bottom w:w="70" w:type="dxa"/>
              <w:end w:w="75" w:type="dxa"/>
            </w:tcMar>
          </w:tcPr>
          <w:p>
            <w:r>
              <w:rPr>
                <w:sz w:val="16"/>
              </w:rPr>
              <w:t>Direct/base endpoint override</w:t>
            </w:r>
          </w:p>
        </w:tc>
        <w:tc>
          <w:tcPr>
            <w:tcW w:type="dxa" w:w="2520"/>
            <w:tcMar>
              <w:top w:w="70" w:type="dxa"/>
              <w:start w:w="75" w:type="dxa"/>
              <w:bottom w:w="70" w:type="dxa"/>
              <w:end w:w="75" w:type="dxa"/>
            </w:tcMar>
          </w:tcPr>
          <w:p>
            <w:r>
              <w:rPr>
                <w:sz w:val="16"/>
              </w:rPr>
              <w:t>ANTHROPIC_BASE_URL</w:t>
            </w:r>
          </w:p>
        </w:tc>
        <w:tc>
          <w:tcPr>
            <w:tcW w:type="dxa" w:w="2520"/>
            <w:tcMar>
              <w:top w:w="70" w:type="dxa"/>
              <w:start w:w="75" w:type="dxa"/>
              <w:bottom w:w="70" w:type="dxa"/>
              <w:end w:w="75" w:type="dxa"/>
            </w:tcMar>
          </w:tcPr>
          <w:p>
            <w:r>
              <w:rPr>
                <w:sz w:val="16"/>
              </w:rPr>
              <w:t>Optional endpoint when direct credentials are supplied</w:t>
            </w:r>
          </w:p>
        </w:tc>
        <w:tc>
          <w:tcPr>
            <w:tcW w:type="dxa" w:w="2520"/>
            <w:tcMar>
              <w:top w:w="70" w:type="dxa"/>
              <w:start w:w="75" w:type="dxa"/>
              <w:bottom w:w="70" w:type="dxa"/>
              <w:end w:w="75" w:type="dxa"/>
            </w:tcMar>
          </w:tcPr>
          <w:p>
            <w:r>
              <w:rPr>
                <w:sz w:val="16"/>
              </w:rPr>
              <w:t>Set only when required by the selected provider/endpoint.</w:t>
            </w:r>
          </w:p>
        </w:tc>
      </w:tr>
    </w:tbl>
    <w:p>
      <w:r>
        <w:t>The model names (for example CHARGESHEET_HEADER_MODEL and CHARGESHEET_MARK_MODEL) are deployment configuration, not credentials. They may also need to change if the target environment exposes different model deployment names.</w:t>
      </w:r>
    </w:p>
    <w:p>
      <w:pPr>
        <w:pStyle w:val="Heading1"/>
      </w:pPr>
      <w:r>
        <w:t>3. Recommended Replacement Pattern</w:t>
      </w:r>
    </w:p>
    <w:p>
      <w:pPr>
        <w:pStyle w:val="Heading2"/>
      </w:pPr>
      <w:r>
        <w:t>3.1 Azure-hosted production (recommended)</w:t>
      </w:r>
    </w:p>
    <w:p>
      <w:pPr>
        <w:ind w:left="259" w:hanging="202"/>
      </w:pPr>
      <w:r>
        <w:rPr>
          <w:b/>
        </w:rPr>
        <w:t xml:space="preserve">• </w:t>
      </w:r>
      <w:r>
        <w:t>Provision or identify the target Azure Key Vault.</w:t>
      </w:r>
    </w:p>
    <w:p>
      <w:pPr>
        <w:ind w:left="259" w:hanging="202"/>
      </w:pPr>
      <w:r>
        <w:rPr>
          <w:b/>
        </w:rPr>
        <w:t xml:space="preserve">• </w:t>
      </w:r>
      <w:r>
        <w:t>Store the Anthropic/Foundry credential in Key Vault under the agreed secret name.</w:t>
      </w:r>
    </w:p>
    <w:p>
      <w:pPr>
        <w:ind w:left="259" w:hanging="202"/>
      </w:pPr>
      <w:r>
        <w:rPr>
          <w:b/>
        </w:rPr>
        <w:t xml:space="preserve">• </w:t>
      </w:r>
      <w:r>
        <w:t>Provision or identify the target Anthropic Foundry endpoint.</w:t>
      </w:r>
    </w:p>
    <w:p>
      <w:pPr>
        <w:ind w:left="259" w:hanging="202"/>
      </w:pPr>
      <w:r>
        <w:rPr>
          <w:b/>
        </w:rPr>
        <w:t xml:space="preserve">• </w:t>
      </w:r>
      <w:r>
        <w:t>Give the deployed service a Managed Identity (preferred) or a service principal.</w:t>
      </w:r>
    </w:p>
    <w:p>
      <w:pPr>
        <w:ind w:left="259" w:hanging="202"/>
      </w:pPr>
      <w:r>
        <w:rPr>
          <w:b/>
        </w:rPr>
        <w:t xml:space="preserve">• </w:t>
      </w:r>
      <w:r>
        <w:t>Grant that identity permission to read the required Key Vault secret only.</w:t>
      </w:r>
    </w:p>
    <w:p>
      <w:pPr>
        <w:ind w:left="259" w:hanging="202"/>
      </w:pPr>
      <w:r>
        <w:rPr>
          <w:b/>
        </w:rPr>
        <w:t xml:space="preserve">• </w:t>
      </w:r>
      <w:r>
        <w:t>Set AZURE_KEY_VAULT_URL, ANTHROPIC_KEY_SECRET, and ANTHROPIC_FOUNDRY_ENDPOINT in the deployment environment.</w:t>
      </w:r>
    </w:p>
    <w:p>
      <w:pPr>
        <w:ind w:left="259" w:hanging="202"/>
      </w:pPr>
      <w:r>
        <w:rPr>
          <w:b/>
        </w:rPr>
        <w:t xml:space="preserve">• </w:t>
      </w:r>
      <w:r>
        <w:t>Keep DefaultAzureCredential in code. Locally it can use az login; in Azure it can automatically use the deployed identity.</w:t>
      </w:r>
    </w:p>
    <w:p>
      <w:r>
        <w:t>This approach removes dependence on an individual developer login in production while retaining the same application code path.</w:t>
      </w:r>
    </w:p>
    <w:p>
      <w:pPr>
        <w:pStyle w:val="Heading2"/>
      </w:pPr>
      <w:r>
        <w:t>3.2 Direct API-key deployment (supported alternative)</w:t>
      </w:r>
    </w:p>
    <w:p>
      <w:r>
        <w:t>model_client.py already supports an explicit ANTHROPIC_API_KEY. If it is present, that path is selected before the shared Azure Key Vault path. ANTHROPIC_BASE_URL can also be supplied when a non-default endpoint is required.</w:t>
      </w:r>
    </w:p>
    <w:tbl>
      <w:tblPr>
        <w:tblStyle w:val="TableGrid"/>
        <w:tblW w:type="auto" w:w="0"/>
        <w:tblLook w:firstColumn="1" w:firstRow="1" w:lastColumn="0" w:lastRow="0" w:noHBand="0" w:noVBand="1" w:val="04A0"/>
      </w:tblPr>
      <w:tblGrid>
        <w:gridCol w:w="10080"/>
      </w:tblGrid>
      <w:tr>
        <w:trPr>
          <w:cantSplit/>
        </w:trPr>
        <w:tc>
          <w:tcPr>
            <w:tcW w:type="dxa" w:w="10080"/>
            <w:shd w:fill="FFF2CC"/>
            <w:tcMar>
              <w:top w:w="100" w:type="dxa"/>
              <w:start w:w="120" w:type="dxa"/>
              <w:bottom w:w="100" w:type="dxa"/>
              <w:end w:w="120" w:type="dxa"/>
            </w:tcMar>
          </w:tcPr>
          <w:p>
            <w:r>
              <w:rPr>
                <w:b/>
              </w:rPr>
              <w:t xml:space="preserve">Security requirement: </w:t>
            </w:r>
            <w:r>
              <w:t>do not commit a direct API key to auth.py, settings.py, .env.example, source control, container images, or documentation. Store it in the hosting platform's secret store and inject it at runtime.</w:t>
            </w:r>
          </w:p>
        </w:tc>
      </w:tr>
    </w:tbl>
    <w:p>
      <w:r>
        <w:br w:type="page"/>
      </w:r>
    </w:p>
    <w:p>
      <w:pPr>
        <w:pStyle w:val="Heading1"/>
      </w:pPr>
      <w:r>
        <w:t>4. Code Locations Involved</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rPr>
                <w:b/>
              </w:rPr>
              <w:t>File</w:t>
            </w:r>
          </w:p>
        </w:tc>
        <w:tc>
          <w:tcPr>
            <w:tcW w:type="dxa" w:w="3360"/>
            <w:shd w:fill="D9EAF7"/>
          </w:tcPr>
          <w:p>
            <w:r>
              <w:rPr>
                <w:b/>
              </w:rPr>
              <w:t>Responsibility</w:t>
            </w:r>
          </w:p>
        </w:tc>
        <w:tc>
          <w:tcPr>
            <w:tcW w:type="dxa" w:w="3360"/>
            <w:shd w:fill="D9EAF7"/>
          </w:tcPr>
          <w:p>
            <w:r>
              <w:rPr>
                <w:b/>
              </w:rPr>
              <w:t>Migration Note</w:t>
            </w:r>
          </w:p>
        </w:tc>
      </w:tr>
      <w:tr>
        <w:trPr>
          <w:cantSplit/>
        </w:trPr>
        <w:tc>
          <w:tcPr>
            <w:tcW w:type="dxa" w:w="3360"/>
            <w:tcMar>
              <w:top w:w="75" w:type="dxa"/>
              <w:start w:w="80" w:type="dxa"/>
              <w:bottom w:w="75" w:type="dxa"/>
              <w:end w:w="80" w:type="dxa"/>
            </w:tcMar>
          </w:tcPr>
          <w:p>
            <w:r>
              <w:rPr>
                <w:sz w:val="17"/>
              </w:rPr>
              <w:t>auth.py</w:t>
            </w:r>
          </w:p>
        </w:tc>
        <w:tc>
          <w:tcPr>
            <w:tcW w:type="dxa" w:w="3360"/>
            <w:tcMar>
              <w:top w:w="75" w:type="dxa"/>
              <w:start w:w="80" w:type="dxa"/>
              <w:bottom w:w="75" w:type="dxa"/>
              <w:end w:w="80" w:type="dxa"/>
            </w:tcMar>
          </w:tcPr>
          <w:p>
            <w:r>
              <w:rPr>
                <w:sz w:val="17"/>
              </w:rPr>
              <w:t>Builds the Azure Key Vault client, retrieves the secret, and creates AnthropicFoundry.</w:t>
            </w:r>
          </w:p>
        </w:tc>
        <w:tc>
          <w:tcPr>
            <w:tcW w:type="dxa" w:w="3360"/>
            <w:tcMar>
              <w:top w:w="75" w:type="dxa"/>
              <w:start w:w="80" w:type="dxa"/>
              <w:bottom w:w="75" w:type="dxa"/>
              <w:end w:w="80" w:type="dxa"/>
            </w:tcMar>
          </w:tcPr>
          <w:p>
            <w:r>
              <w:rPr>
                <w:sz w:val="17"/>
              </w:rPr>
              <w:t>Replace/remove internal fallback configuration; keep the interface if desired.</w:t>
            </w:r>
          </w:p>
        </w:tc>
      </w:tr>
      <w:tr>
        <w:trPr>
          <w:cantSplit/>
        </w:trPr>
        <w:tc>
          <w:tcPr>
            <w:tcW w:type="dxa" w:w="3360"/>
            <w:tcMar>
              <w:top w:w="75" w:type="dxa"/>
              <w:start w:w="80" w:type="dxa"/>
              <w:bottom w:w="75" w:type="dxa"/>
              <w:end w:w="80" w:type="dxa"/>
            </w:tcMar>
          </w:tcPr>
          <w:p>
            <w:r>
              <w:rPr>
                <w:sz w:val="17"/>
              </w:rPr>
              <w:t>model_client.py</w:t>
            </w:r>
          </w:p>
        </w:tc>
        <w:tc>
          <w:tcPr>
            <w:tcW w:type="dxa" w:w="3360"/>
            <w:tcMar>
              <w:top w:w="75" w:type="dxa"/>
              <w:start w:w="80" w:type="dxa"/>
              <w:bottom w:w="75" w:type="dxa"/>
              <w:end w:w="80" w:type="dxa"/>
            </w:tcMar>
          </w:tcPr>
          <w:p>
            <w:r>
              <w:rPr>
                <w:sz w:val="17"/>
              </w:rPr>
              <w:t>Defines credential precedence and returns the model client used by the rest of the pipeline.</w:t>
            </w:r>
          </w:p>
        </w:tc>
        <w:tc>
          <w:tcPr>
            <w:tcW w:type="dxa" w:w="3360"/>
            <w:tcMar>
              <w:top w:w="75" w:type="dxa"/>
              <w:start w:w="80" w:type="dxa"/>
              <w:bottom w:w="75" w:type="dxa"/>
              <w:end w:w="80" w:type="dxa"/>
            </w:tcMar>
          </w:tcPr>
          <w:p>
            <w:r>
              <w:rPr>
                <w:sz w:val="17"/>
              </w:rPr>
              <w:t>Usually no extraction changes are required. Keep or adjust the precedence intentionally.</w:t>
            </w:r>
          </w:p>
        </w:tc>
      </w:tr>
      <w:tr>
        <w:trPr>
          <w:cantSplit/>
        </w:trPr>
        <w:tc>
          <w:tcPr>
            <w:tcW w:type="dxa" w:w="3360"/>
            <w:tcMar>
              <w:top w:w="75" w:type="dxa"/>
              <w:start w:w="80" w:type="dxa"/>
              <w:bottom w:w="75" w:type="dxa"/>
              <w:end w:w="80" w:type="dxa"/>
            </w:tcMar>
          </w:tcPr>
          <w:p>
            <w:r>
              <w:rPr>
                <w:sz w:val="17"/>
              </w:rPr>
              <w:t>settings.py</w:t>
            </w:r>
          </w:p>
        </w:tc>
        <w:tc>
          <w:tcPr>
            <w:tcW w:type="dxa" w:w="3360"/>
            <w:tcMar>
              <w:top w:w="75" w:type="dxa"/>
              <w:start w:w="80" w:type="dxa"/>
              <w:bottom w:w="75" w:type="dxa"/>
              <w:end w:w="80" w:type="dxa"/>
            </w:tcMar>
          </w:tcPr>
          <w:p>
            <w:r>
              <w:rPr>
                <w:sz w:val="17"/>
              </w:rPr>
              <w:t>Exposes auth-related values for diagnostics/backward compatibility.</w:t>
            </w:r>
          </w:p>
        </w:tc>
        <w:tc>
          <w:tcPr>
            <w:tcW w:type="dxa" w:w="3360"/>
            <w:tcMar>
              <w:top w:w="75" w:type="dxa"/>
              <w:start w:w="80" w:type="dxa"/>
              <w:bottom w:w="75" w:type="dxa"/>
              <w:end w:w="80" w:type="dxa"/>
            </w:tcMar>
          </w:tcPr>
          <w:p>
            <w:r>
              <w:rPr>
                <w:sz w:val="17"/>
              </w:rPr>
              <w:t>Remove internal fallback values here too if auth.py is hardened.</w:t>
            </w:r>
          </w:p>
        </w:tc>
      </w:tr>
      <w:tr>
        <w:trPr>
          <w:cantSplit/>
        </w:trPr>
        <w:tc>
          <w:tcPr>
            <w:tcW w:type="dxa" w:w="3360"/>
            <w:tcMar>
              <w:top w:w="75" w:type="dxa"/>
              <w:start w:w="80" w:type="dxa"/>
              <w:bottom w:w="75" w:type="dxa"/>
              <w:end w:w="80" w:type="dxa"/>
            </w:tcMar>
          </w:tcPr>
          <w:p>
            <w:r>
              <w:rPr>
                <w:sz w:val="17"/>
              </w:rPr>
              <w:t>.env.example</w:t>
            </w:r>
          </w:p>
        </w:tc>
        <w:tc>
          <w:tcPr>
            <w:tcW w:type="dxa" w:w="3360"/>
            <w:tcMar>
              <w:top w:w="75" w:type="dxa"/>
              <w:start w:w="80" w:type="dxa"/>
              <w:bottom w:w="75" w:type="dxa"/>
              <w:end w:w="80" w:type="dxa"/>
            </w:tcMar>
          </w:tcPr>
          <w:p>
            <w:r>
              <w:rPr>
                <w:sz w:val="17"/>
              </w:rPr>
              <w:t>Documents supported environment variables.</w:t>
            </w:r>
          </w:p>
        </w:tc>
        <w:tc>
          <w:tcPr>
            <w:tcW w:type="dxa" w:w="3360"/>
            <w:tcMar>
              <w:top w:w="75" w:type="dxa"/>
              <w:start w:w="80" w:type="dxa"/>
              <w:bottom w:w="75" w:type="dxa"/>
              <w:end w:w="80" w:type="dxa"/>
            </w:tcMar>
          </w:tcPr>
          <w:p>
            <w:r>
              <w:rPr>
                <w:sz w:val="17"/>
              </w:rPr>
              <w:t>Update with placeholders only; never place real secrets in the example.</w:t>
            </w:r>
          </w:p>
        </w:tc>
      </w:tr>
      <w:tr>
        <w:trPr>
          <w:cantSplit/>
        </w:trPr>
        <w:tc>
          <w:tcPr>
            <w:tcW w:type="dxa" w:w="3360"/>
            <w:tcMar>
              <w:top w:w="75" w:type="dxa"/>
              <w:start w:w="80" w:type="dxa"/>
              <w:bottom w:w="75" w:type="dxa"/>
              <w:end w:w="80" w:type="dxa"/>
            </w:tcMar>
          </w:tcPr>
          <w:p>
            <w:r>
              <w:rPr>
                <w:sz w:val="17"/>
              </w:rPr>
              <w:t>requirements.txt</w:t>
            </w:r>
          </w:p>
        </w:tc>
        <w:tc>
          <w:tcPr>
            <w:tcW w:type="dxa" w:w="3360"/>
            <w:tcMar>
              <w:top w:w="75" w:type="dxa"/>
              <w:start w:w="80" w:type="dxa"/>
              <w:bottom w:w="75" w:type="dxa"/>
              <w:end w:w="80" w:type="dxa"/>
            </w:tcMar>
          </w:tcPr>
          <w:p>
            <w:r>
              <w:rPr>
                <w:sz w:val="17"/>
              </w:rPr>
              <w:t>Includes azure-identity, azure-keyvault-secrets, and anthropic.</w:t>
            </w:r>
          </w:p>
        </w:tc>
        <w:tc>
          <w:tcPr>
            <w:tcW w:type="dxa" w:w="3360"/>
            <w:tcMar>
              <w:top w:w="75" w:type="dxa"/>
              <w:start w:w="80" w:type="dxa"/>
              <w:bottom w:w="75" w:type="dxa"/>
              <w:end w:w="80" w:type="dxa"/>
            </w:tcMar>
          </w:tcPr>
          <w:p>
            <w:r>
              <w:rPr>
                <w:sz w:val="17"/>
              </w:rPr>
              <w:t>Keep Azure packages for the Key Vault/Managed Identity path.</w:t>
            </w:r>
          </w:p>
        </w:tc>
      </w:tr>
    </w:tbl>
    <w:p>
      <w:pPr>
        <w:pStyle w:val="Heading1"/>
      </w:pPr>
      <w:r>
        <w:t>5. Recommended Source Hardening During Handoff</w:t>
      </w:r>
    </w:p>
    <w:p>
      <w:r>
        <w:t>The cleanest handoff is to stop relying on organization-specific fallback URLs/names in source code and require the target environment to provide them explicitly.</w:t>
      </w:r>
    </w:p>
    <w:p>
      <w:pPr>
        <w:pStyle w:val="CodeBlock"/>
      </w:pPr>
      <w:r>
        <w:t># Example pattern — no organization-specific infrastructure defaults</w:t>
        <w:br/>
        <w:t>KEY_VAULT_URL = require_env("AZURE_KEY_VAULT_URL")</w:t>
        <w:br/>
        <w:t>FOUNDRY_ENDPOINT = require_env("ANTHROPIC_FOUNDRY_ENDPOINT")</w:t>
        <w:br/>
        <w:t>ANTHROPIC_KEY_SECRET = require_env("ANTHROPIC_KEY_SECRET")</w:t>
        <w:br/>
        <w:br/>
        <w:t>credential = DefaultAzureCredential()</w:t>
        <w:br/>
        <w:t>kv = SecretClient(vault_url=KEY_VAULT_URL, credential=credential)</w:t>
        <w:br/>
        <w:t>api_key = kv.get_secret(ANTHROPIC_KEY_SECRET).value</w:t>
        <w:br/>
        <w:br/>
        <w:t>client = anthropic.AnthropicFoundry(</w:t>
        <w:br/>
        <w:t xml:space="preserve">    api_key=api_key,</w:t>
        <w:br/>
        <w:t xml:space="preserve">    base_url=FOUNDRY_ENDPOINT,</w:t>
        <w:br/>
        <w:t>)</w:t>
      </w:r>
    </w:p>
    <w:p>
      <w:r>
        <w:t>The existing direct-key override can remain if the owning team wants both deployment options. If the organization requires Azure-only authentication, remove or disable the direct API-key branch as a policy decision.</w:t>
      </w:r>
    </w:p>
    <w:p>
      <w:pPr>
        <w:pStyle w:val="Heading1"/>
      </w:pPr>
      <w:r>
        <w:t>6. Local Development vs. Production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rPr>
                <w:b/>
              </w:rPr>
              <w:t>Environment</w:t>
            </w:r>
          </w:p>
        </w:tc>
        <w:tc>
          <w:tcPr>
            <w:tcW w:type="dxa" w:w="3360"/>
            <w:shd w:fill="D9EAF7"/>
          </w:tcPr>
          <w:p>
            <w:r>
              <w:rPr>
                <w:b/>
              </w:rPr>
              <w:t>Identity</w:t>
            </w:r>
          </w:p>
        </w:tc>
        <w:tc>
          <w:tcPr>
            <w:tcW w:type="dxa" w:w="3360"/>
            <w:shd w:fill="D9EAF7"/>
          </w:tcPr>
          <w:p>
            <w:r>
              <w:rPr>
                <w:b/>
              </w:rPr>
              <w:t>Expected Flow</w:t>
            </w:r>
          </w:p>
        </w:tc>
      </w:tr>
      <w:tr>
        <w:trPr>
          <w:cantSplit/>
        </w:trPr>
        <w:tc>
          <w:tcPr>
            <w:tcW w:type="dxa" w:w="3360"/>
            <w:tcMar>
              <w:top w:w="75" w:type="dxa"/>
              <w:start w:w="80" w:type="dxa"/>
              <w:bottom w:w="75" w:type="dxa"/>
              <w:end w:w="80" w:type="dxa"/>
            </w:tcMar>
          </w:tcPr>
          <w:p>
            <w:r>
              <w:rPr>
                <w:sz w:val="17"/>
              </w:rPr>
              <w:t>Developer workstation</w:t>
            </w:r>
          </w:p>
        </w:tc>
        <w:tc>
          <w:tcPr>
            <w:tcW w:type="dxa" w:w="3360"/>
            <w:tcMar>
              <w:top w:w="75" w:type="dxa"/>
              <w:start w:w="80" w:type="dxa"/>
              <w:bottom w:w="75" w:type="dxa"/>
              <w:end w:w="80" w:type="dxa"/>
            </w:tcMar>
          </w:tcPr>
          <w:p>
            <w:r>
              <w:rPr>
                <w:sz w:val="17"/>
              </w:rPr>
              <w:t>Azure CLI identity after az login</w:t>
            </w:r>
          </w:p>
        </w:tc>
        <w:tc>
          <w:tcPr>
            <w:tcW w:type="dxa" w:w="3360"/>
            <w:tcMar>
              <w:top w:w="75" w:type="dxa"/>
              <w:start w:w="80" w:type="dxa"/>
              <w:bottom w:w="75" w:type="dxa"/>
              <w:end w:w="80" w:type="dxa"/>
            </w:tcMar>
          </w:tcPr>
          <w:p>
            <w:r>
              <w:rPr>
                <w:sz w:val="17"/>
              </w:rPr>
              <w:t>DefaultAzureCredential → target Key Vault → secret → Foundry</w:t>
            </w:r>
          </w:p>
        </w:tc>
      </w:tr>
      <w:tr>
        <w:trPr>
          <w:cantSplit/>
        </w:trPr>
        <w:tc>
          <w:tcPr>
            <w:tcW w:type="dxa" w:w="3360"/>
            <w:tcMar>
              <w:top w:w="75" w:type="dxa"/>
              <w:start w:w="80" w:type="dxa"/>
              <w:bottom w:w="75" w:type="dxa"/>
              <w:end w:w="80" w:type="dxa"/>
            </w:tcMar>
          </w:tcPr>
          <w:p>
            <w:r>
              <w:rPr>
                <w:sz w:val="17"/>
              </w:rPr>
              <w:t>Azure-hosted service</w:t>
            </w:r>
          </w:p>
        </w:tc>
        <w:tc>
          <w:tcPr>
            <w:tcW w:type="dxa" w:w="3360"/>
            <w:tcMar>
              <w:top w:w="75" w:type="dxa"/>
              <w:start w:w="80" w:type="dxa"/>
              <w:bottom w:w="75" w:type="dxa"/>
              <w:end w:w="80" w:type="dxa"/>
            </w:tcMar>
          </w:tcPr>
          <w:p>
            <w:r>
              <w:rPr>
                <w:sz w:val="17"/>
              </w:rPr>
              <w:t>Managed Identity (preferred)</w:t>
            </w:r>
          </w:p>
        </w:tc>
        <w:tc>
          <w:tcPr>
            <w:tcW w:type="dxa" w:w="3360"/>
            <w:tcMar>
              <w:top w:w="75" w:type="dxa"/>
              <w:start w:w="80" w:type="dxa"/>
              <w:bottom w:w="75" w:type="dxa"/>
              <w:end w:w="80" w:type="dxa"/>
            </w:tcMar>
          </w:tcPr>
          <w:p>
            <w:r>
              <w:rPr>
                <w:sz w:val="17"/>
              </w:rPr>
              <w:t>DefaultAzureCredential → target Key Vault → secret → Foundry</w:t>
            </w:r>
          </w:p>
        </w:tc>
      </w:tr>
      <w:tr>
        <w:trPr>
          <w:cantSplit/>
        </w:trPr>
        <w:tc>
          <w:tcPr>
            <w:tcW w:type="dxa" w:w="3360"/>
            <w:tcMar>
              <w:top w:w="75" w:type="dxa"/>
              <w:start w:w="80" w:type="dxa"/>
              <w:bottom w:w="75" w:type="dxa"/>
              <w:end w:w="80" w:type="dxa"/>
            </w:tcMar>
          </w:tcPr>
          <w:p>
            <w:r>
              <w:rPr>
                <w:sz w:val="17"/>
              </w:rPr>
              <w:t>Non-Azure / direct-key deployment</w:t>
            </w:r>
          </w:p>
        </w:tc>
        <w:tc>
          <w:tcPr>
            <w:tcW w:type="dxa" w:w="3360"/>
            <w:tcMar>
              <w:top w:w="75" w:type="dxa"/>
              <w:start w:w="80" w:type="dxa"/>
              <w:bottom w:w="75" w:type="dxa"/>
              <w:end w:w="80" w:type="dxa"/>
            </w:tcMar>
          </w:tcPr>
          <w:p>
            <w:r>
              <w:rPr>
                <w:sz w:val="17"/>
              </w:rPr>
              <w:t>Injected secret</w:t>
            </w:r>
          </w:p>
        </w:tc>
        <w:tc>
          <w:tcPr>
            <w:tcW w:type="dxa" w:w="3360"/>
            <w:tcMar>
              <w:top w:w="75" w:type="dxa"/>
              <w:start w:w="80" w:type="dxa"/>
              <w:bottom w:w="75" w:type="dxa"/>
              <w:end w:w="80" w:type="dxa"/>
            </w:tcMar>
          </w:tcPr>
          <w:p>
            <w:r>
              <w:rPr>
                <w:sz w:val="17"/>
              </w:rPr>
              <w:t>ANTHROPIC_API_KEY → model client directly</w:t>
            </w:r>
          </w:p>
        </w:tc>
      </w:tr>
      <w:tr>
        <w:trPr>
          <w:cantSplit/>
        </w:trPr>
        <w:tc>
          <w:tcPr>
            <w:tcW w:type="dxa" w:w="3360"/>
            <w:tcMar>
              <w:top w:w="75" w:type="dxa"/>
              <w:start w:w="80" w:type="dxa"/>
              <w:bottom w:w="75" w:type="dxa"/>
              <w:end w:w="80" w:type="dxa"/>
            </w:tcMar>
          </w:tcPr>
          <w:p>
            <w:r>
              <w:rPr>
                <w:sz w:val="17"/>
              </w:rPr>
              <w:t>No-AI diagnostic run</w:t>
            </w:r>
          </w:p>
        </w:tc>
        <w:tc>
          <w:tcPr>
            <w:tcW w:type="dxa" w:w="3360"/>
            <w:tcMar>
              <w:top w:w="75" w:type="dxa"/>
              <w:start w:w="80" w:type="dxa"/>
              <w:bottom w:w="75" w:type="dxa"/>
              <w:end w:w="80" w:type="dxa"/>
            </w:tcMar>
          </w:tcPr>
          <w:p>
            <w:r>
              <w:rPr>
                <w:sz w:val="17"/>
              </w:rPr>
              <w:t>None required</w:t>
            </w:r>
          </w:p>
        </w:tc>
        <w:tc>
          <w:tcPr>
            <w:tcW w:type="dxa" w:w="3360"/>
            <w:tcMar>
              <w:top w:w="75" w:type="dxa"/>
              <w:start w:w="80" w:type="dxa"/>
              <w:bottom w:w="75" w:type="dxa"/>
              <w:end w:w="80" w:type="dxa"/>
            </w:tcMar>
          </w:tcPr>
          <w:p>
            <w:r>
              <w:rPr>
                <w:sz w:val="17"/>
              </w:rPr>
              <w:t>Use --no-ai; template/geometry validation does not require model credentials</w:t>
            </w:r>
          </w:p>
        </w:tc>
      </w:tr>
    </w:tbl>
    <w:p>
      <w:pPr>
        <w:pStyle w:val="Heading1"/>
      </w:pPr>
      <w:r>
        <w:t>7. Cutover Procedure</w:t>
      </w:r>
    </w:p>
    <w:p>
      <w:pPr>
        <w:spacing w:after="60"/>
      </w:pPr>
      <w:r>
        <w:rPr>
          <w:b/>
        </w:rPr>
        <w:t xml:space="preserve">1. Provision target dependencies: </w:t>
      </w:r>
      <w:r>
        <w:t>Confirm the target Key Vault, secret, Foundry endpoint, and runtime identity.</w:t>
      </w:r>
    </w:p>
    <w:p>
      <w:pPr>
        <w:spacing w:after="60"/>
      </w:pPr>
      <w:r>
        <w:rPr>
          <w:b/>
        </w:rPr>
        <w:t xml:space="preserve">2. Configure access: </w:t>
      </w:r>
      <w:r>
        <w:t>Grant the runtime identity permission to read the required secret. Do not grant broad vault permissions unless required.</w:t>
      </w:r>
    </w:p>
    <w:p>
      <w:pPr>
        <w:spacing w:after="60"/>
      </w:pPr>
      <w:r>
        <w:rPr>
          <w:b/>
        </w:rPr>
        <w:t xml:space="preserve">3. Set environment variables: </w:t>
      </w:r>
      <w:r>
        <w:t>Configure the target URL, secret name, and endpoint outside source control.</w:t>
      </w:r>
    </w:p>
    <w:p>
      <w:pPr>
        <w:spacing w:after="60"/>
      </w:pPr>
      <w:r>
        <w:rPr>
          <w:b/>
        </w:rPr>
        <w:t xml:space="preserve">4. Remove internal fallbacks: </w:t>
      </w:r>
      <w:r>
        <w:t>Replace the current organization-specific defaults in auth.py and settings.py with required environment configuration or target-safe defaults.</w:t>
      </w:r>
    </w:p>
    <w:p>
      <w:pPr>
        <w:spacing w:after="60"/>
      </w:pPr>
      <w:r>
        <w:rPr>
          <w:b/>
        </w:rPr>
        <w:t xml:space="preserve">5. Validate authentication only: </w:t>
      </w:r>
      <w:r>
        <w:t>Confirm make_client() can create a client under the target identity before running the full PDF pipeline.</w:t>
      </w:r>
    </w:p>
    <w:p>
      <w:pPr>
        <w:spacing w:after="60"/>
      </w:pPr>
      <w:r>
        <w:rPr>
          <w:b/>
        </w:rPr>
        <w:t xml:space="preserve">6. Run one-page functional test: </w:t>
      </w:r>
      <w:r>
        <w:t>Run a single known charge-sheet page with AI enabled and confirm header/model calls complete.</w:t>
      </w:r>
    </w:p>
    <w:p>
      <w:pPr>
        <w:spacing w:after="60"/>
      </w:pPr>
      <w:r>
        <w:rPr>
          <w:b/>
        </w:rPr>
        <w:t xml:space="preserve">7. Run no-AI control test: </w:t>
      </w:r>
      <w:r>
        <w:t>Run the same page with --no-ai to prove template registration/extraction remains independent of the auth change.</w:t>
      </w:r>
    </w:p>
    <w:p>
      <w:pPr>
        <w:spacing w:after="60"/>
      </w:pPr>
      <w:r>
        <w:rPr>
          <w:b/>
        </w:rPr>
        <w:t xml:space="preserve">8. Promote to full run: </w:t>
      </w:r>
      <w:r>
        <w:t>After the single-page test passes, run the 23-page regression or equivalent target validation set.</w:t>
      </w:r>
    </w:p>
    <w:p>
      <w:pPr>
        <w:pStyle w:val="Heading1"/>
      </w:pPr>
      <w:r>
        <w:t>8. Validation Commands</w:t>
      </w:r>
    </w:p>
    <w:p>
      <w:r>
        <w:t>Local Azure-auth path:</w:t>
      </w:r>
    </w:p>
    <w:p>
      <w:pPr>
        <w:pStyle w:val="CodeBlock"/>
      </w:pPr>
      <w:r>
        <w:t>az login</w:t>
        <w:br/>
        <w:br/>
        <w:t>python -c "from model_client import make_client; c = make_client(); print(type(c).__name__)"</w:t>
        <w:br/>
        <w:br/>
        <w:t>python run.py june-30.pdf --pages 1 --out auth-test-page1.json --refresh-ai-cache</w:t>
      </w:r>
    </w:p>
    <w:p>
      <w:r>
        <w:t>Control test with no model authentication:</w:t>
      </w:r>
    </w:p>
    <w:p>
      <w:pPr>
        <w:pStyle w:val="CodeBlock"/>
      </w:pPr>
      <w:r>
        <w:t>python run.py june-30.pdf --pages 1 --out no-ai-page1.json --no-ai</w:t>
      </w:r>
    </w:p>
    <w:p>
      <w:pPr>
        <w:pStyle w:val="Heading1"/>
      </w:pPr>
      <w:r>
        <w:t>9. Expected Failure Modes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rPr>
                <w:b/>
              </w:rPr>
              <w:t>Symptom</w:t>
            </w:r>
          </w:p>
        </w:tc>
        <w:tc>
          <w:tcPr>
            <w:tcW w:type="dxa" w:w="5040"/>
            <w:shd w:fill="D9EAF7"/>
          </w:tcPr>
          <w:p>
            <w:r>
              <w:rPr>
                <w:b/>
              </w:rPr>
              <w:t>Most Likely Cause</w:t>
            </w:r>
          </w:p>
        </w:tc>
      </w:tr>
      <w:tr>
        <w:trPr>
          <w:cantSplit/>
        </w:trPr>
        <w:tc>
          <w:tcPr>
            <w:tcW w:type="dxa" w:w="5040"/>
            <w:tcMar>
              <w:top w:w="75" w:type="dxa"/>
              <w:start w:w="80" w:type="dxa"/>
              <w:bottom w:w="75" w:type="dxa"/>
              <w:end w:w="80" w:type="dxa"/>
            </w:tcMar>
          </w:tcPr>
          <w:p>
            <w:r>
              <w:rPr>
                <w:sz w:val="17"/>
              </w:rPr>
              <w:t>DefaultAzureCredential cannot authenticate</w:t>
            </w:r>
          </w:p>
        </w:tc>
        <w:tc>
          <w:tcPr>
            <w:tcW w:type="dxa" w:w="5040"/>
            <w:tcMar>
              <w:top w:w="75" w:type="dxa"/>
              <w:start w:w="80" w:type="dxa"/>
              <w:bottom w:w="75" w:type="dxa"/>
              <w:end w:w="80" w:type="dxa"/>
            </w:tcMar>
          </w:tcPr>
          <w:p>
            <w:r>
              <w:rPr>
                <w:sz w:val="17"/>
              </w:rPr>
              <w:t>No valid local Azure login, Managed Identity, service principal, or other supported credential source.</w:t>
            </w:r>
          </w:p>
        </w:tc>
      </w:tr>
      <w:tr>
        <w:trPr>
          <w:cantSplit/>
        </w:trPr>
        <w:tc>
          <w:tcPr>
            <w:tcW w:type="dxa" w:w="5040"/>
            <w:tcMar>
              <w:top w:w="75" w:type="dxa"/>
              <w:start w:w="80" w:type="dxa"/>
              <w:bottom w:w="75" w:type="dxa"/>
              <w:end w:w="80" w:type="dxa"/>
            </w:tcMar>
          </w:tcPr>
          <w:p>
            <w:r>
              <w:rPr>
                <w:sz w:val="17"/>
              </w:rPr>
              <w:t>Key Vault 403 / forbidden</w:t>
            </w:r>
          </w:p>
        </w:tc>
        <w:tc>
          <w:tcPr>
            <w:tcW w:type="dxa" w:w="5040"/>
            <w:tcMar>
              <w:top w:w="75" w:type="dxa"/>
              <w:start w:w="80" w:type="dxa"/>
              <w:bottom w:w="75" w:type="dxa"/>
              <w:end w:w="80" w:type="dxa"/>
            </w:tcMar>
          </w:tcPr>
          <w:p>
            <w:r>
              <w:rPr>
                <w:sz w:val="17"/>
              </w:rPr>
              <w:t>Runtime identity does not have permission to read the configured secret.</w:t>
            </w:r>
          </w:p>
        </w:tc>
      </w:tr>
      <w:tr>
        <w:trPr>
          <w:cantSplit/>
        </w:trPr>
        <w:tc>
          <w:tcPr>
            <w:tcW w:type="dxa" w:w="5040"/>
            <w:tcMar>
              <w:top w:w="75" w:type="dxa"/>
              <w:start w:w="80" w:type="dxa"/>
              <w:bottom w:w="75" w:type="dxa"/>
              <w:end w:w="80" w:type="dxa"/>
            </w:tcMar>
          </w:tcPr>
          <w:p>
            <w:r>
              <w:rPr>
                <w:sz w:val="17"/>
              </w:rPr>
              <w:t>Secret not found</w:t>
            </w:r>
          </w:p>
        </w:tc>
        <w:tc>
          <w:tcPr>
            <w:tcW w:type="dxa" w:w="5040"/>
            <w:tcMar>
              <w:top w:w="75" w:type="dxa"/>
              <w:start w:w="80" w:type="dxa"/>
              <w:bottom w:w="75" w:type="dxa"/>
              <w:end w:w="80" w:type="dxa"/>
            </w:tcMar>
          </w:tcPr>
          <w:p>
            <w:r>
              <w:rPr>
                <w:sz w:val="17"/>
              </w:rPr>
              <w:t>ANTHROPIC_KEY_SECRET does not match the secret name in the target vault.</w:t>
            </w:r>
          </w:p>
        </w:tc>
      </w:tr>
      <w:tr>
        <w:trPr>
          <w:cantSplit/>
        </w:trPr>
        <w:tc>
          <w:tcPr>
            <w:tcW w:type="dxa" w:w="5040"/>
            <w:tcMar>
              <w:top w:w="75" w:type="dxa"/>
              <w:start w:w="80" w:type="dxa"/>
              <w:bottom w:w="75" w:type="dxa"/>
              <w:end w:w="80" w:type="dxa"/>
            </w:tcMar>
          </w:tcPr>
          <w:p>
            <w:r>
              <w:rPr>
                <w:sz w:val="17"/>
              </w:rPr>
              <w:t>Foundry request fails after secret retrieval</w:t>
            </w:r>
          </w:p>
        </w:tc>
        <w:tc>
          <w:tcPr>
            <w:tcW w:type="dxa" w:w="5040"/>
            <w:tcMar>
              <w:top w:w="75" w:type="dxa"/>
              <w:start w:w="80" w:type="dxa"/>
              <w:bottom w:w="75" w:type="dxa"/>
              <w:end w:w="80" w:type="dxa"/>
            </w:tcMar>
          </w:tcPr>
          <w:p>
            <w:r>
              <w:rPr>
                <w:sz w:val="17"/>
              </w:rPr>
              <w:t>Endpoint, credential, model access, networking, or target resource configuration is incorrect.</w:t>
            </w:r>
          </w:p>
        </w:tc>
      </w:tr>
      <w:tr>
        <w:trPr>
          <w:cantSplit/>
        </w:trPr>
        <w:tc>
          <w:tcPr>
            <w:tcW w:type="dxa" w:w="5040"/>
            <w:tcMar>
              <w:top w:w="75" w:type="dxa"/>
              <w:start w:w="80" w:type="dxa"/>
              <w:bottom w:w="75" w:type="dxa"/>
              <w:end w:w="80" w:type="dxa"/>
            </w:tcMar>
          </w:tcPr>
          <w:p>
            <w:r>
              <w:rPr>
                <w:sz w:val="17"/>
              </w:rPr>
              <w:t>Works locally but not in deployment</w:t>
            </w:r>
          </w:p>
        </w:tc>
        <w:tc>
          <w:tcPr>
            <w:tcW w:type="dxa" w:w="5040"/>
            <w:tcMar>
              <w:top w:w="75" w:type="dxa"/>
              <w:start w:w="80" w:type="dxa"/>
              <w:bottom w:w="75" w:type="dxa"/>
              <w:end w:w="80" w:type="dxa"/>
            </w:tcMar>
          </w:tcPr>
          <w:p>
            <w:r>
              <w:rPr>
                <w:sz w:val="17"/>
              </w:rPr>
              <w:t>Production identity/RBAC was not configured; local az login masked the missing deployment identity.</w:t>
            </w:r>
          </w:p>
        </w:tc>
      </w:tr>
      <w:tr>
        <w:trPr>
          <w:cantSplit/>
        </w:trPr>
        <w:tc>
          <w:tcPr>
            <w:tcW w:type="dxa" w:w="5040"/>
            <w:tcMar>
              <w:top w:w="75" w:type="dxa"/>
              <w:start w:w="80" w:type="dxa"/>
              <w:bottom w:w="75" w:type="dxa"/>
              <w:end w:w="80" w:type="dxa"/>
            </w:tcMar>
          </w:tcPr>
          <w:p>
            <w:r>
              <w:rPr>
                <w:sz w:val="17"/>
              </w:rPr>
              <w:t>Unexpected direct-key path</w:t>
            </w:r>
          </w:p>
        </w:tc>
        <w:tc>
          <w:tcPr>
            <w:tcW w:type="dxa" w:w="5040"/>
            <w:tcMar>
              <w:top w:w="75" w:type="dxa"/>
              <w:start w:w="80" w:type="dxa"/>
              <w:bottom w:w="75" w:type="dxa"/>
              <w:end w:w="80" w:type="dxa"/>
            </w:tcMar>
          </w:tcPr>
          <w:p>
            <w:r>
              <w:rPr>
                <w:sz w:val="17"/>
              </w:rPr>
              <w:t>ANTHROPIC_API_KEY is set in the environment and therefore takes precedence over shared Key Vault auth.</w:t>
            </w:r>
          </w:p>
        </w:tc>
      </w:tr>
    </w:tbl>
    <w:p>
      <w:pPr>
        <w:pStyle w:val="Heading1"/>
      </w:pPr>
      <w:r>
        <w:t>10. Acceptance Checklist</w:t>
      </w:r>
    </w:p>
    <w:p>
      <w:pPr>
        <w:ind w:left="259" w:hanging="202"/>
      </w:pPr>
      <w:r>
        <w:rPr>
          <w:b/>
        </w:rPr>
        <w:t xml:space="preserve">☐ </w:t>
      </w:r>
      <w:r>
        <w:t>No real API keys or secret values exist in source control.</w:t>
      </w:r>
    </w:p>
    <w:p>
      <w:pPr>
        <w:ind w:left="259" w:hanging="202"/>
      </w:pPr>
      <w:r>
        <w:rPr>
          <w:b/>
        </w:rPr>
        <w:t xml:space="preserve">☐ </w:t>
      </w:r>
      <w:r>
        <w:t>No 834 Labs-specific Key Vault or Foundry fallback is required for the target deployment.</w:t>
      </w:r>
    </w:p>
    <w:p>
      <w:pPr>
        <w:ind w:left="259" w:hanging="202"/>
      </w:pPr>
      <w:r>
        <w:rPr>
          <w:b/>
        </w:rPr>
        <w:t xml:space="preserve">☐ </w:t>
      </w:r>
      <w:r>
        <w:t>Target environment variables are configured and documented.</w:t>
      </w:r>
    </w:p>
    <w:p>
      <w:pPr>
        <w:ind w:left="259" w:hanging="202"/>
      </w:pPr>
      <w:r>
        <w:rPr>
          <w:b/>
        </w:rPr>
        <w:t xml:space="preserve">☐ </w:t>
      </w:r>
      <w:r>
        <w:t>Local developers can authenticate using the approved identity method.</w:t>
      </w:r>
    </w:p>
    <w:p>
      <w:pPr>
        <w:ind w:left="259" w:hanging="202"/>
      </w:pPr>
      <w:r>
        <w:rPr>
          <w:b/>
        </w:rPr>
        <w:t xml:space="preserve">☐ </w:t>
      </w:r>
      <w:r>
        <w:t>Production uses a non-human runtime identity (Managed Identity preferred in Azure).</w:t>
      </w:r>
    </w:p>
    <w:p>
      <w:pPr>
        <w:ind w:left="259" w:hanging="202"/>
      </w:pPr>
      <w:r>
        <w:rPr>
          <w:b/>
        </w:rPr>
        <w:t xml:space="preserve">☐ </w:t>
      </w:r>
      <w:r>
        <w:t>The production identity can read only the required secret(s).</w:t>
      </w:r>
    </w:p>
    <w:p>
      <w:pPr>
        <w:ind w:left="259" w:hanging="202"/>
      </w:pPr>
      <w:r>
        <w:rPr>
          <w:b/>
        </w:rPr>
        <w:t xml:space="preserve">☐ </w:t>
      </w:r>
      <w:r>
        <w:t>make_client() succeeds in the target environment.</w:t>
      </w:r>
    </w:p>
    <w:p>
      <w:pPr>
        <w:ind w:left="259" w:hanging="202"/>
      </w:pPr>
      <w:r>
        <w:rPr>
          <w:b/>
        </w:rPr>
        <w:t xml:space="preserve">☐ </w:t>
      </w:r>
      <w:r>
        <w:t>A one-page AI-enabled extraction succeeds.</w:t>
      </w:r>
    </w:p>
    <w:p>
      <w:pPr>
        <w:ind w:left="259" w:hanging="202"/>
      </w:pPr>
      <w:r>
        <w:rPr>
          <w:b/>
        </w:rPr>
        <w:t xml:space="preserve">☐ </w:t>
      </w:r>
      <w:r>
        <w:t>A --no-ai run still succeeds, confirming the auth change did not affect deterministic extraction.</w:t>
      </w:r>
    </w:p>
    <w:p>
      <w:pPr>
        <w:ind w:left="259" w:hanging="202"/>
      </w:pPr>
      <w:r>
        <w:rPr>
          <w:b/>
        </w:rPr>
        <w:t xml:space="preserve">☐ </w:t>
      </w:r>
      <w:r>
        <w:t>The full regression set succeeds before production cutover.</w:t>
      </w:r>
    </w:p>
    <w:p>
      <w:pPr>
        <w:pStyle w:val="Heading1"/>
      </w:pPr>
      <w:r>
        <w:t>11. Scope Boundary</w:t>
      </w:r>
    </w:p>
    <w:p>
      <w:r>
        <w:t>This authentication replacement is intentionally separate from the charge-sheet business logic. It does not change locked-template registration, procedure/diagnosis candidate generation, AI mark-review rules, manual-review handling, header/notes prompts, or the JSON output contract. Only the mechanism used to obtain and initialize the model credential/client should change.</w:t>
      </w:r>
    </w:p>
    <w:p>
      <w:pPr>
        <w:spacing w:before="160"/>
      </w:pPr>
      <w:r>
        <w:rPr>
          <w:b/>
        </w:rPr>
        <w:t xml:space="preserve">Source basis: </w:t>
      </w:r>
      <w:r>
        <w:t>current charge-sheet package authentication implementation in auth.py, model_client.py, settings.py, .env.example, and requirements.txt.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Internal Technical Handoff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6"/>
      </w:rPr>
      <w:t>Charge-Sheet Extraction | Authentication Replacement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3737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59" w:righ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