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3864"/>
          <w:sz w:val="44"/>
          <w:szCs w:val="44"/>
        </w:rPr>
        <w:t xml:space="preserve">Operations Management Case Pack</w:t>
      </w:r>
    </w:p>
    <w:p>
      <w:pPr>
        <w:spacing w:after="200"/>
        <w:jc w:val="center"/>
      </w:pPr>
      <w:r>
        <w:rPr>
          <w:sz w:val="30"/>
          <w:szCs w:val="30"/>
        </w:rPr>
        <w:t xml:space="preserve">Supply Chains on the Move: China → Malaysia, and the Geely × Proton Case</w:t>
      </w:r>
    </w:p>
    <w:p>
      <w:pPr>
        <w:spacing w:after="600"/>
        <w:jc w:val="center"/>
      </w:pPr>
      <w:r>
        <w:rPr>
          <w:color w:val="555555"/>
          <w:sz w:val="26"/>
          <w:szCs w:val="26"/>
        </w:rPr>
        <w:t xml:space="preserve">产业链从中国转移到马来西亚 · 吉利 × 宝腾</w:t>
      </w:r>
    </w:p>
    <w:p>
      <w:pPr>
        <w:jc w:val="center"/>
      </w:pPr>
      <w:r>
        <w:rPr>
          <w:i/>
          <w:iCs/>
        </w:rPr>
        <w:t xml:space="preserve">Student handout · Information as of October 2026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9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 1. The China → Malaysia supply-chain shift (overview)</w:t>
            </w:r>
          </w:p>
        </w:tc>
      </w:tr>
      <w:tr>
        <w:trPr>
          <w:tblHeader w:val="false"/>
        </w:trPr>
        <w:tc>
          <w:tcPr>
            <w:tcW w:type="dxa" w:w="9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 2. Case: Geely × Proton, 2017–2026</w:t>
            </w:r>
          </w:p>
        </w:tc>
      </w:tr>
      <w:tr>
        <w:trPr>
          <w:tblHeader w:val="false"/>
        </w:trPr>
        <w:tc>
          <w:tcPr>
            <w:tcW w:type="dxa" w:w="9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 3. Pre-reading questions by session</w:t>
            </w:r>
          </w:p>
        </w:tc>
      </w:tr>
      <w:tr>
        <w:trPr>
          <w:tblHeader w:val="false"/>
        </w:trPr>
        <w:tc>
          <w:tcPr>
            <w:tcW w:type="dxa" w:w="9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 4. Exercises A–D (with answer space)</w:t>
            </w:r>
          </w:p>
        </w:tc>
      </w:tr>
      <w:tr>
        <w:trPr>
          <w:tblHeader w:val="false"/>
        </w:trPr>
        <w:tc>
          <w:tcPr>
            <w:tcW w:type="dxa" w:w="9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 5. Class debate</w:t>
            </w:r>
          </w:p>
        </w:tc>
      </w:tr>
      <w:tr>
        <w:trPr>
          <w:tblHeader w:val="false"/>
        </w:trPr>
        <w:tc>
          <w:tcPr>
            <w:tcW w:type="dxa" w:w="9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 6. Sources and data notes</w:t>
            </w:r>
          </w:p>
        </w:tc>
      </w:tr>
    </w:tbl>
    <w:p/>
    <w:p>
      <w:pPr>
        <w:spacing w:after="120"/>
      </w:pPr>
      <w:r>
        <w:rPr>
          <w:i/>
          <w:iCs/>
        </w:rPr>
        <w:t xml:space="preserve">Figures marked † are approximate and drawn from public reporting. They were not re-verified against primary filings. All exercise numbers are illustrative teaching data, not company data.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Part 1. The China → Malaysia supply-chain shift</w:t>
      </w:r>
    </w:p>
    <w:p>
      <w:pPr>
        <w:spacing w:after="120"/>
      </w:pPr>
      <w:r>
        <w:t xml:space="preserve">Over the past decade Malaysia has moved from absorbing low-margin "China+1" overflow, such as solar modules and electronics assembly, to hosting </w:t>
      </w:r>
      <w:r>
        <w:rPr>
          <w:b/>
          <w:bCs/>
        </w:rPr>
        <w:t xml:space="preserve">strategic Chinese capacity</w:t>
      </w:r>
      <w:r>
        <w:t xml:space="preserve">. That now includes lithium-battery cells and materials, right-hand-drive EV assembly, and one of the largest clusters of Chinese-operated data-centre capacity outside China.</w:t>
      </w:r>
    </w:p>
    <w:p>
      <w:pPr>
        <w:pStyle w:val="Heading2"/>
        <w:spacing w:after="100" w:before="200"/>
      </w:pPr>
      <w:r>
        <w:t xml:space="preserve">1.1 Three waves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900"/>
        <w:gridCol w:w="262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driver</w:t>
            </w:r>
          </w:p>
        </w:tc>
        <w:tc>
          <w:tcPr>
            <w:tcW w:type="dxa" w:w="26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moved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Cost and Belt &amp; Road overflow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2013–2017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Chinese overcapacity, BRI financing, state partners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Steel (Kuantan industrial park), solar, industrial parks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Tariff evasion → hedging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2018–2022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 Section 301 tariffs, COVID shocks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Final assembly for US-bound goods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Strategic localisation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2023–2026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US/EU de-risking, chip export controls, Malaysia NIMP 2030 and NETR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Cell and materials plants, EV/CKD plants, hyperscale data centres</w:t>
            </w:r>
          </w:p>
        </w:tc>
      </w:tr>
    </w:tbl>
    <w:p>
      <w:pPr>
        <w:pStyle w:val="Heading2"/>
        <w:spacing w:after="100" w:before="200"/>
      </w:pPr>
      <w:r>
        <w:t xml:space="preserve">1.2 Key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44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Malaysia approved investment, 2024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RM378.5bn (record; later revised to ~RM384bn)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Malaysia approved investment, 2025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RM426.7bn (record); foreign RM207.1bn (+20.9%)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China rank among foreign investors, 1H2025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#2 (RM23.4bn), behind Singapore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Chinese manufacturing approvals in Penang, 2025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RM4.2bn; more than 80 Chinese firms operating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Johor data-centre capacity, mid-2025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~580 MW live; ~5.8 GW in the pipeline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 reciprocal tariff on Malaysia (from Aug 2025)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19%; up to 40% for goods found to be transhipped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 AD/CVD on Malaysian solar cells (Apr 2025)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 to 168.8%, depending on the company</w:t>
            </w:r>
          </w:p>
        </w:tc>
      </w:tr>
    </w:tbl>
    <w:p>
      <w:pPr>
        <w:pStyle w:val="Heading2"/>
        <w:spacing w:after="100" w:before="200"/>
      </w:pPr>
      <w:r>
        <w:t xml:space="preserve">1.3 Four sectors at a glance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New-energy batteries.</w:t>
      </w:r>
      <w:r>
        <w:t xml:space="preserve"> Chinese cell makers cluster in Kedah (Kulim, Gurun) and Johor. EVE Energy's Kulim plant started production in 2025, and EVE announced a ~US$1.2bn energy-storage plant. Materials suppliers followed: anodes (Putailai, US$297m), cathodes and electrolytes. Output is mostly cylindrical cells and energy-storage batteries, not EV traction cells.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Automotive.</w:t>
      </w:r>
      <w:r>
        <w:t xml:space="preserve"> Geely bought 49.9% of Proton in 2017 (see Part 2). BYD, Chery, GWM and others entered through imports and then local CKD assembly. BYD's own plant in Tanjung Malim is due in 2H2026.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Specialty chemicals.</w:t>
      </w:r>
      <w:r>
        <w:t xml:space="preserve"> This is the slowest-moving sector. It has a Petronas-anchored feedstock base, a large Chinese refining pledge (Rongsheng, Pengerang; status unconfirmed), and smaller additive and battery-chemical plants.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centres.</w:t>
      </w:r>
      <w:r>
        <w:t xml:space="preserve"> Singapore's 2019 pause on new data centres pushed demand into Johor. Chinese operators (GDS/DayOne, ByteDance-linked capacity, Alibaba, Huawei) moved early. Since 2025 the sector has faced AI-chip export permits, higher power tariffs and water limits.</w:t>
      </w:r>
    </w:p>
    <w:p>
      <w:pPr>
        <w:pStyle w:val="Heading2"/>
        <w:spacing w:after="100" w:before="200"/>
      </w:pPr>
      <w:r>
        <w:t xml:space="preserve">1.4 Why Malaysia? Pull factors cited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Geopolitical neutrality between the US and China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50-year electronics and semiconductor base in Penang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Ethnic-Chinese business networks and Mandarin-speaking managers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Industrial land, power and water (historically cheap)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Industrial policy: NIMP 2030, NETR, the National Semiconductor Strategy, time-limited duty exemptions on imported EVs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 access: RCEP and right-hand-drive export markets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Part 2. Case: Geely × Proton (2017–2026)</w:t>
      </w:r>
    </w:p>
    <w:p>
      <w:pPr>
        <w:pStyle w:val="Heading2"/>
        <w:spacing w:after="100" w:before="200"/>
      </w:pPr>
      <w:r>
        <w:t xml:space="preserve">2.1 Before the deal</w:t>
      </w:r>
    </w:p>
    <w:p>
      <w:pPr>
        <w:spacing w:after="120"/>
      </w:pPr>
      <w:r>
        <w:t xml:space="preserve">Proton was founded in 1983 as Malaysia's national car company using Mitsubishi technology. Its domestic share fell from more than 70% in its early years to about 12% in 2016. Problems included ageing platforms, a quality reputation gap against Japanese and Perodua models, a fragmented local supplier base, failed export attempts, and the capital needs of Lotus (bought in 1996).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70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Proton sales / output (units)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2014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115,783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2015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102,175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2016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~72,290 (production; down ~30%)</w:t>
            </w:r>
          </w:p>
        </w:tc>
      </w:tr>
    </w:tbl>
    <w:p>
      <w:pPr>
        <w:spacing w:after="120"/>
      </w:pPr>
      <w:r>
        <w:t xml:space="preserve">In 2016 the government extended a </w:t>
      </w:r>
      <w:r>
        <w:rPr>
          <w:b/>
          <w:bCs/>
        </w:rPr>
        <w:t xml:space="preserve">RM1.5bn soft loan</w:t>
      </w:r>
      <w:r>
        <w:t xml:space="preserve"> on condition that Proton found a strategic foreign partner. The candidates reportedly included PSA, Renault, Suzuki and Geely. Geely withdrew a bid for majority control in March 2017 and returned in May with a minority offer.</w:t>
      </w:r>
    </w:p>
    <w:p>
      <w:pPr>
        <w:pStyle w:val="Heading2"/>
        <w:spacing w:after="100" w:before="200"/>
      </w:pPr>
      <w:r>
        <w:t xml:space="preserve">2.2 The deal (May–June 2017)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Equity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Geely takes 49.9% of Proton; DRB-HICOM keeps 50.1%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Cash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About RM170.3m Geely investment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Technology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Boyue SUV platform transferred (valued ~RM290m); later platforms licensed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Restructuring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~RM1.2bn of non-automotive assets moved to DRB-HICOM; Proton repays RM567m to DRB-HICOM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Lotus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Geely 51%; Etika Automotive 49%</w:t>
            </w:r>
          </w:p>
        </w:tc>
      </w:tr>
    </w:tbl>
    <w:p>
      <w:pPr>
        <w:pStyle w:val="Heading2"/>
        <w:spacing w:after="100" w:before="200"/>
      </w:pPr>
      <w:r>
        <w:t xml:space="preserve">2.3 What changed after 2017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Products.</w:t>
      </w:r>
      <w:r>
        <w:t xml:space="preserve"> Geely-based models were added: X70 (Boyue, Dec 2018 †), X50 (2020 †), X90 and S70 (2023 †), e.MAS 7 (late 2024) and e.MAS 5 (2026). Proton's own Saga, Persona and Iriz stayed in the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Manufacturing and quality.</w:t>
      </w:r>
      <w:r>
        <w:t xml:space="preserve"> Geely manufacturing and quality systems were brought into Tanjung Malim. Geely executives held key operating roles at first (CEO Dr Li Chunrong, 2018–2021 †), followed by a Malaysian CEO.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Localisation path.</w:t>
      </w:r>
      <w:r>
        <w:t xml:space="preserve"> CBU import → CKD assembly → rising local content. The Tanjung Malim engine plant is being prepared for hybrid, PHEV and EV components (target 400,000 units by 2028).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Purchasing and suppliers.</w:t>
      </w:r>
      <w:r>
        <w:t xml:space="preserve"> Supplier base consolidated; Geely supplier-quality engineers worked with local vendors; parts co-sourced with Geely Holding's volume (more than 4 million vehicles in 2025).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Distribution and brand.</w:t>
      </w:r>
      <w:r>
        <w:t xml:space="preserve"> Dealer network upgraded; separate e.MAS EV brand; Proton International Corporation set up in July 2025 to run exports.</w:t>
      </w:r>
    </w:p>
    <w:p>
      <w:pPr>
        <w:pStyle w:val="Heading2"/>
        <w:spacing w:after="100" w:before="200"/>
      </w:pPr>
      <w:r>
        <w:t xml:space="preserve">2.4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5126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Proton sales (units)</w:t>
            </w:r>
          </w:p>
        </w:tc>
        <w:tc>
          <w:tcPr>
            <w:tcW w:type="dxa" w:w="51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2018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~65,000 †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X70 launched in December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2019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~100,000 †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~109,000 †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X50 launched; COVID year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141,432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Highest since 2013; DRB-HICOM back to pre-tax profit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~154,000 †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157,976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19.4% domestic share; exports ~6,000 (Egypt 2,280, Vietnam 1,316)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 (Jan–Sep)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160,886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~26–27% YTD share; target 200,000 for the full year</w:t>
            </w:r>
          </w:p>
        </w:tc>
      </w:tr>
    </w:tbl>
    <w:p>
      <w:pPr>
        <w:spacing w:after="120"/>
      </w:pPr>
      <w:r>
        <w:t xml:space="preserve">Market context in 2026: total industry volume is about 815,000 units a year. Japanese brands' share fell from ~35% to ~21%. Chinese brands (BYD, Chery/Jaecoo, Jetour, Zeekr and others) reached about 7.8% combined. EV penetration rose to ~9.2%.</w:t>
      </w:r>
    </w:p>
    <w:p>
      <w:pPr>
        <w:pStyle w:val="Heading2"/>
        <w:spacing w:after="100" w:before="200"/>
      </w:pPr>
      <w:r>
        <w:t xml:space="preserve">2.5 Automotive High-Tech Valley (AHTV), Tanjung Malim</w:t>
      </w:r>
    </w:p>
    <w:p>
      <w:pPr>
        <w:spacing w:after="120"/>
      </w:pPr>
      <w:r>
        <w:t xml:space="preserve">AHTV is a DRB-HICOM–Geely development worth about </w:t>
      </w:r>
      <w:r>
        <w:rPr>
          <w:b/>
          <w:bCs/>
        </w:rPr>
        <w:t xml:space="preserve">RM32bn</w:t>
      </w:r>
      <w:r>
        <w:t xml:space="preserve"> over roughly 10 years. Geely's stated target is </w:t>
      </w:r>
      <w:r>
        <w:rPr>
          <w:b/>
          <w:bCs/>
        </w:rPr>
        <w:t xml:space="preserve">500,000 vehicles a year by 2035, about half for export</w:t>
      </w:r>
      <w:r>
        <w:t xml:space="preserve">, positioning Malaysia as its right-hand-drive hub. Proton's EV plant opened in September 2025 (20,000 units a year in phase 1, rising to 45,000). Zeekr assembly has been announced. BYD is building a separate plant nearby.</w:t>
      </w:r>
    </w:p>
    <w:p>
      <w:pPr>
        <w:pStyle w:val="Heading2"/>
        <w:spacing w:after="100" w:before="200"/>
      </w:pPr>
      <w:r>
        <w:t xml:space="preserve">2.6 Open issues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Proton's current competitive range is largely Geely-derived.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 battery cells, motors and power electronics are still mainly imported from China.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Geely's own brands are also sold in Malaysia.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Exports of Chinese-platform vehicles may face origin and security scrutiny in some markets.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Proton's standalone profitability is not fully disclosed.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Part 3. Pre-reading questions</w:t>
      </w:r>
    </w:p>
    <w:p>
      <w:pPr>
        <w:pStyle w:val="Heading2"/>
        <w:spacing w:after="100" w:before="200"/>
      </w:pPr>
      <w:r>
        <w:t xml:space="preserve">Session 1: Why Malaysia, and why now?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China is cheaper and more capable, why are Chinese firms building factories in Malaysia?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Rank the pull factors in §1.4 for (a) a battery-cell maker, (b) an EV OEM, (c) a hyperscale data-centre operator. Why do the rankings differ?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the four sectors move for the same reasons? Which sector moved least, and why?</w:t>
      </w:r>
    </w:p>
    <w:p>
      <w:pPr>
        <w:pStyle w:val="Heading2"/>
        <w:spacing w:after="100" w:before="200"/>
      </w:pPr>
      <w:r>
        <w:t xml:space="preserve">Session 2: Tariffs, origin and the solar precedent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What does "substantial transformation" mean, and why does it matter for a plant that imports most of its inputs?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Chinese solar makers relocated to Southeast Asia after 2012 and were hit by new US duties in 2022–2025. Is a battery plant in Kedah more or less exposed? Why?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European OEM is considering a Chinese-owned battery supplier in Malaysia. What should it check beyond a standard supplier audit?</w:t>
      </w:r>
    </w:p>
    <w:p>
      <w:pPr>
        <w:pStyle w:val="Heading2"/>
        <w:spacing w:after="100" w:before="200"/>
      </w:pPr>
      <w:r>
        <w:t xml:space="preserve">Session 3: Geely × Proton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 2017 you are Proton's COO. Geely offers platforms, not cash. Do you accept? On what conditions?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List the operational levers Geely pulled (product, manufacturing, purchasing, distribution). Which would be hardest for a competitor to copy?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Why does Proton keep its own Saga instead of moving fully to Geely platforms?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Would the same approach work for BYD, which is building a wholly owned plant? What does each entry mode gain and lose?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What should the 2017 agreement have said about local R&amp;D and engineering? Draft one clause.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Part 4. Exercises</w:t>
      </w:r>
    </w:p>
    <w:p>
      <w:pPr>
        <w:spacing w:after="120"/>
      </w:pPr>
      <w:r>
        <w:rPr>
          <w:i/>
          <w:iCs/>
        </w:rPr>
        <w:t xml:space="preserve">All numbers below are illustrative teaching data.</w:t>
      </w:r>
    </w:p>
    <w:p>
      <w:pPr>
        <w:pStyle w:val="Heading2"/>
        <w:spacing w:after="100" w:before="200"/>
      </w:pPr>
      <w:r>
        <w:t xml:space="preserve">Exercise A: Factor-rating location model</w:t>
      </w:r>
    </w:p>
    <w:p>
      <w:pPr>
        <w:spacing w:after="120"/>
      </w:pPr>
      <w:r>
        <w:t xml:space="preserve">Score each country from 1 to 10 for a new battery-cell plant serving US and EU customers. The tariff row is pre-filled with illustrative scores; you may re-score it from current US tariff rates.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1000"/>
        <w:gridCol w:w="1175"/>
        <w:gridCol w:w="1175"/>
        <w:gridCol w:w="1175"/>
        <w:gridCol w:w="1175"/>
      </w:tblGrid>
      <w:tr>
        <w:trPr>
          <w:tblHeader/>
        </w:trPr>
        <w:tc>
          <w:tcPr>
            <w:tcW w:type="dxa" w:w="33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17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Malaysia</w:t>
            </w:r>
          </w:p>
        </w:tc>
        <w:tc>
          <w:tcPr>
            <w:tcW w:type="dxa" w:w="117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Vietnam</w:t>
            </w:r>
          </w:p>
        </w:tc>
        <w:tc>
          <w:tcPr>
            <w:tcW w:type="dxa" w:w="117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Thailand</w:t>
            </w:r>
          </w:p>
        </w:tc>
        <w:tc>
          <w:tcPr>
            <w:tcW w:type="dxa" w:w="117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Indonesia</w:t>
            </w:r>
          </w:p>
        </w:tc>
      </w:tr>
      <w:tr>
        <w:trPr>
          <w:tblHeader w:val="false"/>
        </w:trPr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Labour cost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0.10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</w:tr>
      <w:tr>
        <w:trPr>
          <w:tblHeader w:val="false"/>
        </w:trPr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Skilled technicians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0.15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</w:tr>
      <w:tr>
        <w:trPr>
          <w:tblHeader w:val="false"/>
        </w:trPr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Power cost and reliability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0.15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</w:tr>
      <w:tr>
        <w:trPr>
          <w:tblHeader w:val="false"/>
        </w:trPr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Tariff and origin exposure to the US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0.20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</w:tr>
      <w:tr>
        <w:trPr>
          <w:tblHeader w:val="false"/>
        </w:trPr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Supplier ecosystem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0.15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</w:tr>
      <w:tr>
        <w:trPr>
          <w:tblHeader w:val="false"/>
        </w:trPr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Political neutrality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0.10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</w:tr>
      <w:tr>
        <w:trPr>
          <w:tblHeader w:val="false"/>
        </w:trPr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Raw materials (nickel)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0.15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</w:tr>
      <w:tr>
        <w:trPr>
          <w:tblHeader w:val="false"/>
        </w:trPr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Weighted score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1.00</w:t>
            </w:r>
          </w:p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pStyle w:val="ListParagraph"/>
        <w:numPr>
          <w:ilvl w:val="0"/>
          <w:numId w:val="6"/>
        </w:numPr>
        <w:spacing w:after="60"/>
      </w:pPr>
      <w:r>
        <w:t xml:space="preserve">Compute the weighted score for each country. Which ranks first?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Sensitivity: how much must the tariff weight rise (taking weight from other factors) before the ranking changes? Show your working.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What does the model leave out? Consider ownership-based rules (e.g. US "foreign entity of concern" tests) and battery chemistry (NMC vs LFP).</w:t>
      </w:r>
    </w:p>
    <w:p>
      <w:pPr>
        <w:spacing w:after="60" w:before="160"/>
      </w:pPr>
      <w:r>
        <w:rPr>
          <w:b/>
          <w:bCs/>
          <w:color w:val="555555"/>
          <w:sz w:val="20"/>
          <w:szCs w:val="20"/>
        </w:rPr>
        <w:t xml:space="preserve">Working / answer: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400" w:hRule="atLeast"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t xml:space="preserve">Exercise B: Total landed cost under tariff scenarios</w:t>
      </w:r>
    </w:p>
    <w:p>
      <w:pPr>
        <w:spacing w:after="120"/>
      </w:pPr>
      <w:r>
        <w:t xml:space="preserve">A battery module made in Malaysia has an ex-works cost of US$100 and freight to the US of US$6. 70% of its inputs are Chinese-origin. State your assumption about which value the duty applies 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26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3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Ex-works (US$)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Freight (US$)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Duty (US$)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Landed cost (US$)</w:t>
            </w:r>
          </w:p>
        </w:tc>
      </w:tr>
      <w:tr>
        <w:trPr>
          <w:tblHeader w:val="false"/>
        </w:trPr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Reciprocal tariff 19%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Transhipment finding 40%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AD/CVD order 100% (state whether it stacks on the 19%)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Localise to 50% local inputs (+US$8 cost), origin secured, 19%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pStyle w:val="ListParagraph"/>
        <w:numPr>
          <w:ilvl w:val="0"/>
          <w:numId w:val="7"/>
        </w:numPr>
        <w:spacing w:after="60"/>
      </w:pPr>
      <w:r>
        <w:t xml:space="preserve">Complete the table.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Let p be the probability of scenario 2. For what value of p does localisation (scenario 4) pay off? Repeat for scenario 3.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What non-cost benefits and risks of localising should the decision also weigh?</w:t>
      </w:r>
    </w:p>
    <w:p>
      <w:pPr>
        <w:spacing w:after="60" w:before="160"/>
      </w:pPr>
      <w:r>
        <w:rPr>
          <w:b/>
          <w:bCs/>
          <w:color w:val="555555"/>
          <w:sz w:val="20"/>
          <w:szCs w:val="20"/>
        </w:rPr>
        <w:t xml:space="preserve">Working / answer: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400" w:hRule="atLeast"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t xml:space="preserve">Exercise C: The learning curve and the CBU → CKD switch</w:t>
      </w:r>
    </w:p>
    <w:p>
      <w:pPr>
        <w:spacing w:after="120"/>
      </w:pPr>
      <w:r>
        <w:t xml:space="preserve">The first CKD vehicle at Tanjung Malim takes 100 labour-hours. Assume a 90% learning curve (unit-time model: Tₙ = T₁ · n^b, where b = log 0.9 / log 2).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 n</w:t>
            </w:r>
          </w:p>
        </w:tc>
        <w:tc>
          <w:tcPr>
            <w:tcW w:type="dxa" w:w="45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Labour-hours Tₙ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1,000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10,000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Unit at which Tₙ = 30 hours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pStyle w:val="ListParagraph"/>
        <w:numPr>
          <w:ilvl w:val="0"/>
          <w:numId w:val="8"/>
        </w:numPr>
        <w:spacing w:after="60"/>
      </w:pPr>
      <w:r>
        <w:t xml:space="preserve">Complete the table.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At a phase-1 rate of 20,000 vehicles a year, how many months does it take to reach 30 hours per vehicle?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Is labour learning or supplier localisation the real constraint on the ramp-up? How should this shape the timing of the CBU → CKD switch before the duty exemption ends?</w:t>
      </w:r>
    </w:p>
    <w:p>
      <w:pPr>
        <w:spacing w:after="60" w:before="160"/>
      </w:pPr>
      <w:r>
        <w:rPr>
          <w:b/>
          <w:bCs/>
          <w:color w:val="555555"/>
          <w:sz w:val="20"/>
          <w:szCs w:val="20"/>
        </w:rPr>
        <w:t xml:space="preserve">Working / answer: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400" w:hRule="atLeast"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t xml:space="preserve">Exercise D: AHTV capacity break-even</w:t>
      </w:r>
    </w:p>
    <w:p>
      <w:pPr>
        <w:spacing w:after="120"/>
      </w:pPr>
      <w:r>
        <w:t xml:space="preserve">The plant has fixed costs of RM1.8bn a year at 500,000 capacity and a contribution margin of RM6,000 per vehicle. The domestic Geely-group share is assumed to be 25% of an 815,000-unit market.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26"/>
        <w:gridCol w:w="2600"/>
        <w:gridCol w:w="2600"/>
      </w:tblGrid>
      <w:tr>
        <w:trPr>
          <w:tblHeader/>
        </w:trPr>
        <w:tc>
          <w:tcPr>
            <w:tcW w:type="dxa" w:w="3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25% domestic share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18% domestic share</w:t>
            </w:r>
          </w:p>
        </w:tc>
      </w:tr>
      <w:tr>
        <w:trPr>
          <w:tblHeader w:val="false"/>
        </w:trPr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Break-even volume (units)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Utilisation at break-even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Domestic volume (units)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 volume needed (units)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Multiple of 2025 exports (~6,000)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pStyle w:val="ListParagraph"/>
        <w:numPr>
          <w:ilvl w:val="0"/>
          <w:numId w:val="9"/>
        </w:numPr>
        <w:spacing w:after="60"/>
      </w:pPr>
      <w:r>
        <w:t xml:space="preserve">Complete the table.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Which assumptions in this model would you challenge first? What would make the 500,000 target credible?</w:t>
      </w:r>
    </w:p>
    <w:p>
      <w:pPr>
        <w:spacing w:after="60" w:before="160"/>
      </w:pPr>
      <w:r>
        <w:rPr>
          <w:b/>
          <w:bCs/>
          <w:color w:val="555555"/>
          <w:sz w:val="20"/>
          <w:szCs w:val="20"/>
        </w:rPr>
        <w:t xml:space="preserve">Working / answer: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400" w:hRule="atLeast"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Part 5. Class debate</w:t>
      </w:r>
    </w:p>
    <w:p>
      <w:pPr>
        <w:spacing w:after="200" w:before="200"/>
        <w:jc w:val="center"/>
      </w:pPr>
      <w:r>
        <w:rPr>
          <w:i/>
          <w:iCs/>
          <w:sz w:val="28"/>
          <w:szCs w:val="28"/>
        </w:rPr>
        <w:t xml:space="preserve">"Proton in 2026 is a Malaysian badge on a Chinese car."</w:t>
      </w:r>
    </w:p>
    <w:p>
      <w:pPr>
        <w:spacing w:after="120"/>
      </w:pPr>
      <w:r>
        <w:t xml:space="preserve">The class splits into two teams, </w:t>
      </w:r>
      <w:r>
        <w:rPr>
          <w:b/>
          <w:bCs/>
        </w:rPr>
        <w:t xml:space="preserve">for</w:t>
      </w:r>
      <w:r>
        <w:t xml:space="preserve"> and </w:t>
      </w:r>
      <w:r>
        <w:rPr>
          <w:b/>
          <w:bCs/>
        </w:rPr>
        <w:t xml:space="preserve">against</w:t>
      </w:r>
      <w:r>
        <w:t xml:space="preserve">. Each team has 5 minutes to open, 3 minutes to rebut, and 2 minutes to close. Use operational evidence: product platforms, bill-of-materials origin, manufacturing and quality systems, supplier base, management, and exports. Avoid national loyalties.</w:t>
      </w:r>
    </w:p>
    <w:p>
      <w:pPr>
        <w:spacing w:after="120"/>
      </w:pPr>
      <w:r>
        <w:rPr>
          <w:b/>
          <w:bCs/>
        </w:rPr>
        <w:t xml:space="preserve">Preparation notes:</w:t>
      </w:r>
    </w:p>
    <w:p>
      <w:pPr>
        <w:spacing w:after="60" w:before="160"/>
      </w:pPr>
      <w:r>
        <w:rPr>
          <w:b/>
          <w:bCs/>
          <w:color w:val="555555"/>
          <w:sz w:val="20"/>
          <w:szCs w:val="20"/>
        </w:rPr>
        <w:t xml:space="preserve">Working / answer: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600" w:hRule="atLeast"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>
      <w:pPr>
        <w:pStyle w:val="Heading2"/>
        <w:spacing w:after="100" w:before="200"/>
      </w:pPr>
      <w:r>
        <w:t xml:space="preserve">Optional group project ideas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Using UN Comtrade/BACI data, test whether Malaysian battery or solar exports to the US track rising imports of Chinese intermediates.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entry modes: Geely–Proton (minority stake), BYD (wholly owned), Chery (contract assembly), Great Wall (bought a plant in Thailand).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supply-chain diversification index that counts ownership and input origin, not just ship-from country.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Part 6. Sources and data notes</w:t>
      </w:r>
    </w:p>
    <w:p>
      <w:pPr>
        <w:spacing w:after="120"/>
      </w:pPr>
      <w:r>
        <w:rPr>
          <w:b/>
          <w:bCs/>
        </w:rPr>
        <w:t xml:space="preserve">Data notes.</w:t>
      </w:r>
      <w:r>
        <w:t xml:space="preserve"> Figures marked † are approximate values from public reporting and were not re-verified against primary filings. Data-centre capacity figures mix live, under-construction and planned capacity, depending on the source. All exercise data are illustrative. Check current figures against primary sources (MIDA, Malaysian Automotive Association, DRB-HICOM and Geely filings) before citing.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 w:val="false"/>
          <w:bCs w:val="false"/>
        </w:rPr>
        <w:t xml:space="preserve">MIDA – blockbuster year for foreign investment. </w:t>
      </w:r>
      <w:r>
        <w:rPr>
          <w:color w:val="1F3864"/>
          <w:sz w:val="18"/>
          <w:szCs w:val="18"/>
        </w:rPr>
        <w:t xml:space="preserve">https://www.mida.gov.my/mida-news/stories-of-the-year-a-blockbuster-year-for-foreign-investment/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 w:val="false"/>
          <w:bCs w:val="false"/>
        </w:rPr>
        <w:t xml:space="preserve">MIDA/MITI – RM17.9bn Chinese investments 2023–1H2024. </w:t>
      </w:r>
      <w:r>
        <w:rPr>
          <w:color w:val="1F3864"/>
          <w:sz w:val="18"/>
          <w:szCs w:val="18"/>
        </w:rPr>
        <w:t xml:space="preserve">https://www.mida.gov.my/mida-news/rm17-9b-investments-from-china-approved-from-2023-until-1h2024-miti/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 w:val="false"/>
          <w:bCs w:val="false"/>
        </w:rPr>
        <w:t xml:space="preserve">MIDA – Chinese companies keen on Penang. </w:t>
      </w:r>
      <w:r>
        <w:rPr>
          <w:color w:val="1F3864"/>
          <w:sz w:val="18"/>
          <w:szCs w:val="18"/>
        </w:rPr>
        <w:t xml:space="preserve">https://www.mida.gov.my/mida-news/more-chinese-companies-keen-on-investing-in-penang-says-cm/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 w:val="false"/>
          <w:bCs w:val="false"/>
        </w:rPr>
        <w:t xml:space="preserve">CnEVPost – EVE Energy Malaysia ESS project. </w:t>
      </w:r>
      <w:r>
        <w:rPr>
          <w:color w:val="1F3864"/>
          <w:sz w:val="18"/>
          <w:szCs w:val="18"/>
        </w:rPr>
        <w:t xml:space="preserve">https://cnevpost.com/2025/06/30/eve-energy-plans-energy-storage-battery-project-malaysia/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 w:val="false"/>
          <w:bCs w:val="false"/>
        </w:rPr>
        <w:t xml:space="preserve">Yicai – Putailai anode plant. </w:t>
      </w:r>
      <w:r>
        <w:rPr>
          <w:color w:val="1F3864"/>
          <w:sz w:val="18"/>
          <w:szCs w:val="18"/>
        </w:rPr>
        <w:t xml:space="preserve">https://english.sse.com.cn/news/newsrelease/voice/c/c_20260312_10811607.shtml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 w:val="false"/>
          <w:bCs w:val="false"/>
        </w:rPr>
        <w:t xml:space="preserve">JLL – Johor data centres Q2 2025. </w:t>
      </w:r>
      <w:r>
        <w:rPr>
          <w:color w:val="1F3864"/>
          <w:sz w:val="18"/>
          <w:szCs w:val="18"/>
        </w:rPr>
        <w:t xml:space="preserve">https://research.jllapsites.com/appd-market-report/q2-2025-data-centres-johor-bahru/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 w:val="false"/>
          <w:bCs w:val="false"/>
        </w:rPr>
        <w:t xml:space="preserve">SCMP – Malaysia AI chip trade permits. </w:t>
      </w:r>
      <w:r>
        <w:rPr>
          <w:color w:val="1F3864"/>
          <w:sz w:val="18"/>
          <w:szCs w:val="18"/>
        </w:rPr>
        <w:t xml:space="preserve">https://www.scmp.com/week-asia/economics/article/3318099/malaysia-imposes-trade-permits-us-linked-ai-chip-shipments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 w:val="false"/>
          <w:bCs w:val="false"/>
        </w:rPr>
        <w:t xml:space="preserve">Malay Mail – MITI tightens origin checks. </w:t>
      </w:r>
      <w:r>
        <w:rPr>
          <w:color w:val="1F3864"/>
          <w:sz w:val="18"/>
          <w:szCs w:val="18"/>
        </w:rPr>
        <w:t xml:space="preserve">https://www.malaymail.com/news/malaysia/2025/08/27/miti-tightens-origin-checks-as-us-delays-clarity-on-transhipment-enforcement-under-new-tariff-order/189013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 w:val="false"/>
          <w:bCs w:val="false"/>
        </w:rPr>
        <w:t xml:space="preserve">NST – US solar tariffs on Malaysia. </w:t>
      </w:r>
      <w:r>
        <w:rPr>
          <w:color w:val="1F3864"/>
          <w:sz w:val="18"/>
          <w:szCs w:val="18"/>
        </w:rPr>
        <w:t xml:space="preserve">https://www.nst.com.my/amp/business/corporate/2025/04/1205626/malaysia-feel-pinch-new-us-solar-tariffs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 w:val="false"/>
          <w:bCs w:val="false"/>
        </w:rPr>
        <w:t xml:space="preserve">Carlist – Geely acquires 49.9% of Proton. </w:t>
      </w:r>
      <w:r>
        <w:rPr>
          <w:color w:val="1F3864"/>
          <w:sz w:val="18"/>
          <w:szCs w:val="18"/>
        </w:rPr>
        <w:t xml:space="preserve">https://www.carlist.my/news/confirmed-geely-acquires-499-percent-stake-in-proton-plus-51-percent-of-lotus/62621/amp/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 w:val="false"/>
          <w:bCs w:val="false"/>
        </w:rPr>
        <w:t xml:space="preserve">Just Auto – Geely agreement for Proton and Lotus. </w:t>
      </w:r>
      <w:r>
        <w:rPr>
          <w:color w:val="1F3864"/>
          <w:sz w:val="18"/>
          <w:szCs w:val="18"/>
        </w:rPr>
        <w:t xml:space="preserve">https://www.just-auto.com/news/geely-strikes-agreement-to-acquire-proton-and-lotus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 w:val="false"/>
          <w:bCs w:val="false"/>
        </w:rPr>
        <w:t xml:space="preserve">FMT – RM1.5bn loan for Proton. </w:t>
      </w:r>
      <w:r>
        <w:rPr>
          <w:color w:val="1F3864"/>
          <w:sz w:val="18"/>
          <w:szCs w:val="18"/>
        </w:rPr>
        <w:t xml:space="preserve">https://www.freemalaysiatoday.com/category/nation/2016/03/18/poser-over-rm1-5-billion-loan-for-proton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 w:val="false"/>
          <w:bCs w:val="false"/>
        </w:rPr>
        <w:t xml:space="preserve">FMT – Uphill climb for Proton despite Geely. </w:t>
      </w:r>
      <w:r>
        <w:rPr>
          <w:color w:val="1F3864"/>
          <w:sz w:val="18"/>
          <w:szCs w:val="18"/>
        </w:rPr>
        <w:t xml:space="preserve">https://fmtv5.freemalaysiatoday.com/category/nation/2017/06/09/uphill-climb-for-proton-despite-geelys-entry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 w:val="false"/>
          <w:bCs w:val="false"/>
        </w:rPr>
        <w:t xml:space="preserve">WapCar – Proton 2025 sales. </w:t>
      </w:r>
      <w:r>
        <w:rPr>
          <w:color w:val="1F3864"/>
          <w:sz w:val="18"/>
          <w:szCs w:val="18"/>
        </w:rPr>
        <w:t xml:space="preserve">https://www.wapcar.my/news/proton-records-157976-vehicle-sales-in-2025-as-exports-reach-highest-level-since-2012-749204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 w:val="false"/>
          <w:bCs w:val="false"/>
        </w:rPr>
        <w:t xml:space="preserve">Zigwheels – Proton 9M 2026 sales. </w:t>
      </w:r>
      <w:r>
        <w:rPr>
          <w:color w:val="1F3864"/>
          <w:sz w:val="18"/>
          <w:szCs w:val="18"/>
        </w:rPr>
        <w:t xml:space="preserve">https://www.zigwheels.my/car-news/proton-surpasses-160k-sales-in-9-months-two-new-models-still-to-come-this-year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 w:val="false"/>
          <w:bCs w:val="false"/>
        </w:rPr>
        <w:t xml:space="preserve">Business Today – Malaysia auto competition 2026. </w:t>
      </w:r>
      <w:r>
        <w:rPr>
          <w:color w:val="1F3864"/>
          <w:sz w:val="18"/>
          <w:szCs w:val="18"/>
        </w:rPr>
        <w:t xml:space="preserve">https://www.businesstoday.com.my/2026/07/12/intense-competition-to-shape-malaysias-automotive-sector/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 w:val="false"/>
          <w:bCs w:val="false"/>
        </w:rPr>
        <w:t xml:space="preserve">Carlist – Proton EV plant Tanjung Malim. </w:t>
      </w:r>
      <w:r>
        <w:rPr>
          <w:color w:val="1F3864"/>
          <w:sz w:val="18"/>
          <w:szCs w:val="18"/>
        </w:rPr>
        <w:t xml:space="preserve">https://www.carlist.my/news/proton-begins-construction-of-malaysia-s-first-dedicated-ev-plant-in-tanjong-malim-141304/141304/amp/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 w:val="false"/>
          <w:bCs w:val="false"/>
        </w:rPr>
        <w:t xml:space="preserve">WapCar – AHTV and Geely brands. </w:t>
      </w:r>
      <w:r>
        <w:rPr>
          <w:color w:val="1F3864"/>
          <w:sz w:val="18"/>
          <w:szCs w:val="18"/>
        </w:rPr>
        <w:t xml:space="preserve">https://www.wapcar.my/news/chinese-state-media-confirms-drbhicoms-ahtv-to-ckd-more-geely-auto-group-brand-cars-79761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 w:val="false"/>
          <w:bCs w:val="false"/>
        </w:rPr>
        <w:t xml:space="preserve">Malay Mail – DRB-HICOM returns to profit. </w:t>
      </w:r>
      <w:r>
        <w:rPr>
          <w:color w:val="1F3864"/>
          <w:sz w:val="18"/>
          <w:szCs w:val="18"/>
        </w:rPr>
        <w:t xml:space="preserve">https://www.malaymail.com/news/money/2022/11/24/drb-hicom-returns-to-black-chalks-up-rm14395m-net-profit-in-q3fy2022/41751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OM Case Pack · China → Malaysia · Geely × Proton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2026-10-17T06:36:39.996Z</dcterms:created>
  <dcterms:modified xsi:type="dcterms:W3CDTF">2026-10-17T06:36:39.996Z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