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0000" w:color="auto" w:val="clear"/>
        <w:spacing w:after="200"/>
        <w:jc w:val="center"/>
      </w:pPr>
      <w:r>
        <w:rPr>
          <w:rFonts w:ascii="Arial" w:cs="Arial" w:eastAsia="Arial" w:hAnsi="Arial"/>
          <w:b/>
          <w:bCs/>
          <w:color w:val="FFFFFF"/>
          <w:sz w:val="24"/>
          <w:szCs w:val="24"/>
        </w:rPr>
        <w:t xml:space="preserve">INSTRUCTOR ONLY — DO NOT DISTRIBUTE TO STUDENTS</w:t>
      </w:r>
    </w:p>
    <w:p>
      <w:pPr>
        <w:spacing w:after="80"/>
        <w:jc w:val="center"/>
      </w:pPr>
      <w:r>
        <w:rPr>
          <w:rFonts w:ascii="Arial" w:cs="Arial" w:eastAsia="Arial" w:hAnsi="Arial"/>
          <w:b/>
          <w:bCs/>
          <w:color w:val="1F4E78"/>
          <w:sz w:val="40"/>
          <w:szCs w:val="40"/>
        </w:rPr>
        <w:t xml:space="preserve">Solution Key</w:t>
      </w:r>
    </w:p>
    <w:p>
      <w:pPr>
        <w:spacing w:after="80"/>
        <w:jc w:val="center"/>
      </w:pPr>
      <w:r>
        <w:rPr>
          <w:rFonts w:ascii="Arial" w:cs="Arial" w:eastAsia="Arial" w:hAnsi="Arial"/>
          <w:sz w:val="26"/>
          <w:szCs w:val="26"/>
        </w:rPr>
        <w:t xml:space="preserve">China → Malaysia Supply-Chain Shift and the Geely × Proton Case</w:t>
      </w:r>
    </w:p>
    <w:p>
      <w:pPr>
        <w:spacing w:after="300"/>
        <w:jc w:val="center"/>
      </w:pPr>
      <w:r>
        <w:rPr>
          <w:rFonts w:ascii="Arial" w:cs="Arial" w:eastAsia="Arial" w:hAnsi="Arial"/>
          <w:i/>
          <w:iCs/>
          <w:color w:val="595959"/>
          <w:sz w:val="19"/>
          <w:szCs w:val="19"/>
        </w:rPr>
        <w:t xml:space="preserve">Operations Management · Companion to om-teaching-note.md and om-exercise-model.xlsx · October 2026</w:t>
      </w:r>
    </w:p>
    <w:p>
      <w:pPr>
        <w:spacing w:after="120"/>
      </w:pPr>
      <w:r>
        <w:rPr>
          <w:rFonts w:ascii="Arial" w:cs="Arial" w:eastAsia="Arial" w:hAnsi="Arial"/>
          <w:b/>
          <w:bCs/>
          <w:sz w:val="21"/>
          <w:szCs w:val="21"/>
        </w:rPr>
        <w:t xml:space="preserve">How to use this key. </w:t>
      </w:r>
      <w:r>
        <w:rPr>
          <w:rFonts w:ascii="Arial" w:cs="Arial" w:eastAsia="Arial" w:hAnsi="Arial"/>
          <w:sz w:val="21"/>
          <w:szCs w:val="21"/>
        </w:rPr>
        <w:t xml:space="preserve">All exercise numbers are illustrative teaching assumptions, not company data. Every result below is reproduced with live formulas in om-exercise-model.xlsx, so you can change an input in class and show the effect. Model answers for discussion questions list the points a strong answer covers; accept well-argued alternatives.</w:t>
      </w:r>
    </w:p>
    <w:p>
      <w:pPr>
        <w:pStyle w:val="Heading1"/>
        <w:spacing w:after="150" w:before="300"/>
      </w:pPr>
      <w:r>
        <w:rPr>
          <w:rFonts w:ascii="Arial" w:cs="Arial" w:eastAsia="Arial" w:hAnsi="Arial"/>
          <w:b/>
          <w:bCs/>
          <w:color w:val="1F4E78"/>
          <w:sz w:val="30"/>
          <w:szCs w:val="30"/>
        </w:rPr>
        <w:t xml:space="preserve">Exercise A — Factor-rating location model</w:t>
      </w:r>
    </w:p>
    <w:p>
      <w:pPr>
        <w:pStyle w:val="Heading2"/>
        <w:spacing w:after="100" w:before="220"/>
      </w:pPr>
      <w:r>
        <w:rPr>
          <w:rFonts w:ascii="Arial" w:cs="Arial" w:eastAsia="Arial" w:hAnsi="Arial"/>
          <w:b/>
          <w:bCs/>
          <w:color w:val="2E75B6"/>
          <w:sz w:val="25"/>
          <w:szCs w:val="25"/>
        </w:rPr>
        <w:t xml:space="preserve">Set-up</w:t>
      </w:r>
    </w:p>
    <w:p>
      <w:pPr>
        <w:spacing w:after="120"/>
      </w:pPr>
      <w:r>
        <w:rPr>
          <w:rFonts w:ascii="Arial" w:cs="Arial" w:eastAsia="Arial" w:hAnsi="Arial"/>
          <w:sz w:val="21"/>
          <w:szCs w:val="21"/>
        </w:rPr>
        <w:t xml:space="preserve">Weighted score for country j = Σ (weight of factor i × score of country j on factor i). Weights sum to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000"/>
        <w:gridCol w:w="1300"/>
        <w:gridCol w:w="1300"/>
        <w:gridCol w:w="1300"/>
        <w:gridCol w:w="1300"/>
      </w:tblGrid>
      <w:tr>
        <w:trPr>
          <w:tblHeader/>
        </w:trPr>
        <w:tc>
          <w:tcPr>
            <w:tcW w:type="dxa" w:w="2826"/>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Factor</w:t>
            </w:r>
          </w:p>
        </w:tc>
        <w:tc>
          <w:tcPr>
            <w:tcW w:type="dxa" w:w="10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Weight</w:t>
            </w:r>
          </w:p>
        </w:tc>
        <w:tc>
          <w:tcPr>
            <w:tcW w:type="dxa" w:w="13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Malaysia</w:t>
            </w:r>
          </w:p>
        </w:tc>
        <w:tc>
          <w:tcPr>
            <w:tcW w:type="dxa" w:w="13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Vietnam</w:t>
            </w:r>
          </w:p>
        </w:tc>
        <w:tc>
          <w:tcPr>
            <w:tcW w:type="dxa" w:w="13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Thailand</w:t>
            </w:r>
          </w:p>
        </w:tc>
        <w:tc>
          <w:tcPr>
            <w:tcW w:type="dxa" w:w="13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Indonesia</w:t>
            </w:r>
          </w:p>
        </w:tc>
      </w:tr>
      <w:tr>
        <w:tc>
          <w:tcPr>
            <w:tcW w:type="dxa" w:w="2826"/>
            <w:tcMar>
              <w:top w:type="dxa" w:w="60"/>
              <w:left w:type="dxa" w:w="100"/>
              <w:bottom w:type="dxa" w:w="60"/>
              <w:right w:type="dxa" w:w="100"/>
            </w:tcMar>
          </w:tcPr>
          <w:p>
            <w:r>
              <w:rPr>
                <w:rFonts w:ascii="Arial" w:cs="Arial" w:eastAsia="Arial" w:hAnsi="Arial"/>
                <w:b w:val="false"/>
                <w:bCs w:val="false"/>
                <w:sz w:val="19"/>
                <w:szCs w:val="19"/>
              </w:rPr>
              <w:t xml:space="preserve">Labour cost</w:t>
            </w:r>
          </w:p>
        </w:tc>
        <w:tc>
          <w:tcPr>
            <w:tcW w:type="dxa" w:w="1000"/>
            <w:tcMar>
              <w:top w:type="dxa" w:w="60"/>
              <w:left w:type="dxa" w:w="100"/>
              <w:bottom w:type="dxa" w:w="60"/>
              <w:right w:type="dxa" w:w="100"/>
            </w:tcMar>
          </w:tcPr>
          <w:p>
            <w:r>
              <w:rPr>
                <w:rFonts w:ascii="Arial" w:cs="Arial" w:eastAsia="Arial" w:hAnsi="Arial"/>
                <w:b w:val="false"/>
                <w:bCs w:val="false"/>
                <w:sz w:val="19"/>
                <w:szCs w:val="19"/>
              </w:rPr>
              <w:t xml:space="preserve">0.10</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8</w:t>
            </w:r>
          </w:p>
        </w:tc>
      </w:tr>
      <w:tr>
        <w:tc>
          <w:tcPr>
            <w:tcW w:type="dxa" w:w="2826"/>
            <w:tcMar>
              <w:top w:type="dxa" w:w="60"/>
              <w:left w:type="dxa" w:w="100"/>
              <w:bottom w:type="dxa" w:w="60"/>
              <w:right w:type="dxa" w:w="100"/>
            </w:tcMar>
          </w:tcPr>
          <w:p>
            <w:r>
              <w:rPr>
                <w:rFonts w:ascii="Arial" w:cs="Arial" w:eastAsia="Arial" w:hAnsi="Arial"/>
                <w:b w:val="false"/>
                <w:bCs w:val="false"/>
                <w:sz w:val="19"/>
                <w:szCs w:val="19"/>
              </w:rPr>
              <w:t xml:space="preserve">Skilled technicians</w:t>
            </w:r>
          </w:p>
        </w:tc>
        <w:tc>
          <w:tcPr>
            <w:tcW w:type="dxa" w:w="1000"/>
            <w:tcMar>
              <w:top w:type="dxa" w:w="60"/>
              <w:left w:type="dxa" w:w="100"/>
              <w:bottom w:type="dxa" w:w="60"/>
              <w:right w:type="dxa" w:w="100"/>
            </w:tcMar>
          </w:tcPr>
          <w:p>
            <w:r>
              <w:rPr>
                <w:rFonts w:ascii="Arial" w:cs="Arial" w:eastAsia="Arial" w:hAnsi="Arial"/>
                <w:b w:val="false"/>
                <w:bCs w:val="false"/>
                <w:sz w:val="19"/>
                <w:szCs w:val="19"/>
              </w:rPr>
              <w:t xml:space="preserve">0.15</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5</w:t>
            </w:r>
          </w:p>
        </w:tc>
      </w:tr>
      <w:tr>
        <w:tc>
          <w:tcPr>
            <w:tcW w:type="dxa" w:w="2826"/>
            <w:tcMar>
              <w:top w:type="dxa" w:w="60"/>
              <w:left w:type="dxa" w:w="100"/>
              <w:bottom w:type="dxa" w:w="60"/>
              <w:right w:type="dxa" w:w="100"/>
            </w:tcMar>
          </w:tcPr>
          <w:p>
            <w:r>
              <w:rPr>
                <w:rFonts w:ascii="Arial" w:cs="Arial" w:eastAsia="Arial" w:hAnsi="Arial"/>
                <w:b w:val="false"/>
                <w:bCs w:val="false"/>
                <w:sz w:val="19"/>
                <w:szCs w:val="19"/>
              </w:rPr>
              <w:t xml:space="preserve">Power cost &amp; reliability</w:t>
            </w:r>
          </w:p>
        </w:tc>
        <w:tc>
          <w:tcPr>
            <w:tcW w:type="dxa" w:w="1000"/>
            <w:tcMar>
              <w:top w:type="dxa" w:w="60"/>
              <w:left w:type="dxa" w:w="100"/>
              <w:bottom w:type="dxa" w:w="60"/>
              <w:right w:type="dxa" w:w="100"/>
            </w:tcMar>
          </w:tcPr>
          <w:p>
            <w:r>
              <w:rPr>
                <w:rFonts w:ascii="Arial" w:cs="Arial" w:eastAsia="Arial" w:hAnsi="Arial"/>
                <w:b w:val="false"/>
                <w:bCs w:val="false"/>
                <w:sz w:val="19"/>
                <w:szCs w:val="19"/>
              </w:rPr>
              <w:t xml:space="preserve">0.15</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6</w:t>
            </w:r>
          </w:p>
        </w:tc>
      </w:tr>
      <w:tr>
        <w:tc>
          <w:tcPr>
            <w:tcW w:type="dxa" w:w="2826"/>
            <w:tcMar>
              <w:top w:type="dxa" w:w="60"/>
              <w:left w:type="dxa" w:w="100"/>
              <w:bottom w:type="dxa" w:w="60"/>
              <w:right w:type="dxa" w:w="100"/>
            </w:tcMar>
          </w:tcPr>
          <w:p>
            <w:r>
              <w:rPr>
                <w:rFonts w:ascii="Arial" w:cs="Arial" w:eastAsia="Arial" w:hAnsi="Arial"/>
                <w:b w:val="false"/>
                <w:bCs w:val="false"/>
                <w:sz w:val="19"/>
                <w:szCs w:val="19"/>
              </w:rPr>
              <w:t xml:space="preserve">Tariff &amp; origin exposure to US</w:t>
            </w:r>
          </w:p>
        </w:tc>
        <w:tc>
          <w:tcPr>
            <w:tcW w:type="dxa" w:w="1000"/>
            <w:tcMar>
              <w:top w:type="dxa" w:w="60"/>
              <w:left w:type="dxa" w:w="100"/>
              <w:bottom w:type="dxa" w:w="60"/>
              <w:right w:type="dxa" w:w="100"/>
            </w:tcMar>
          </w:tcPr>
          <w:p>
            <w:r>
              <w:rPr>
                <w:rFonts w:ascii="Arial" w:cs="Arial" w:eastAsia="Arial" w:hAnsi="Arial"/>
                <w:b w:val="false"/>
                <w:bCs w:val="false"/>
                <w:sz w:val="19"/>
                <w:szCs w:val="19"/>
              </w:rPr>
              <w:t xml:space="preserve">0.20</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6</w:t>
            </w:r>
          </w:p>
        </w:tc>
      </w:tr>
      <w:tr>
        <w:tc>
          <w:tcPr>
            <w:tcW w:type="dxa" w:w="2826"/>
            <w:tcMar>
              <w:top w:type="dxa" w:w="60"/>
              <w:left w:type="dxa" w:w="100"/>
              <w:bottom w:type="dxa" w:w="60"/>
              <w:right w:type="dxa" w:w="100"/>
            </w:tcMar>
          </w:tcPr>
          <w:p>
            <w:r>
              <w:rPr>
                <w:rFonts w:ascii="Arial" w:cs="Arial" w:eastAsia="Arial" w:hAnsi="Arial"/>
                <w:b w:val="false"/>
                <w:bCs w:val="false"/>
                <w:sz w:val="19"/>
                <w:szCs w:val="19"/>
              </w:rPr>
              <w:t xml:space="preserve">Supplier ecosystem</w:t>
            </w:r>
          </w:p>
        </w:tc>
        <w:tc>
          <w:tcPr>
            <w:tcW w:type="dxa" w:w="1000"/>
            <w:tcMar>
              <w:top w:type="dxa" w:w="60"/>
              <w:left w:type="dxa" w:w="100"/>
              <w:bottom w:type="dxa" w:w="60"/>
              <w:right w:type="dxa" w:w="100"/>
            </w:tcMar>
          </w:tcPr>
          <w:p>
            <w:r>
              <w:rPr>
                <w:rFonts w:ascii="Arial" w:cs="Arial" w:eastAsia="Arial" w:hAnsi="Arial"/>
                <w:b w:val="false"/>
                <w:bCs w:val="false"/>
                <w:sz w:val="19"/>
                <w:szCs w:val="19"/>
              </w:rPr>
              <w:t xml:space="preserve">0.15</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6</w:t>
            </w:r>
          </w:p>
        </w:tc>
      </w:tr>
      <w:tr>
        <w:tc>
          <w:tcPr>
            <w:tcW w:type="dxa" w:w="2826"/>
            <w:tcMar>
              <w:top w:type="dxa" w:w="60"/>
              <w:left w:type="dxa" w:w="100"/>
              <w:bottom w:type="dxa" w:w="60"/>
              <w:right w:type="dxa" w:w="100"/>
            </w:tcMar>
          </w:tcPr>
          <w:p>
            <w:r>
              <w:rPr>
                <w:rFonts w:ascii="Arial" w:cs="Arial" w:eastAsia="Arial" w:hAnsi="Arial"/>
                <w:b w:val="false"/>
                <w:bCs w:val="false"/>
                <w:sz w:val="19"/>
                <w:szCs w:val="19"/>
              </w:rPr>
              <w:t xml:space="preserve">Political neutrality</w:t>
            </w:r>
          </w:p>
        </w:tc>
        <w:tc>
          <w:tcPr>
            <w:tcW w:type="dxa" w:w="1000"/>
            <w:tcMar>
              <w:top w:type="dxa" w:w="60"/>
              <w:left w:type="dxa" w:w="100"/>
              <w:bottom w:type="dxa" w:w="60"/>
              <w:right w:type="dxa" w:w="100"/>
            </w:tcMar>
          </w:tcPr>
          <w:p>
            <w:r>
              <w:rPr>
                <w:rFonts w:ascii="Arial" w:cs="Arial" w:eastAsia="Arial" w:hAnsi="Arial"/>
                <w:b w:val="false"/>
                <w:bCs w:val="false"/>
                <w:sz w:val="19"/>
                <w:szCs w:val="19"/>
              </w:rPr>
              <w:t xml:space="preserve">0.10</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7</w:t>
            </w:r>
          </w:p>
        </w:tc>
      </w:tr>
      <w:tr>
        <w:tc>
          <w:tcPr>
            <w:tcW w:type="dxa" w:w="2826"/>
            <w:tcMar>
              <w:top w:type="dxa" w:w="60"/>
              <w:left w:type="dxa" w:w="100"/>
              <w:bottom w:type="dxa" w:w="60"/>
              <w:right w:type="dxa" w:w="100"/>
            </w:tcMar>
          </w:tcPr>
          <w:p>
            <w:r>
              <w:rPr>
                <w:rFonts w:ascii="Arial" w:cs="Arial" w:eastAsia="Arial" w:hAnsi="Arial"/>
                <w:b w:val="false"/>
                <w:bCs w:val="false"/>
                <w:sz w:val="19"/>
                <w:szCs w:val="19"/>
              </w:rPr>
              <w:t xml:space="preserve">Raw materials (nickel)</w:t>
            </w:r>
          </w:p>
        </w:tc>
        <w:tc>
          <w:tcPr>
            <w:tcW w:type="dxa" w:w="1000"/>
            <w:tcMar>
              <w:top w:type="dxa" w:w="60"/>
              <w:left w:type="dxa" w:w="100"/>
              <w:bottom w:type="dxa" w:w="60"/>
              <w:right w:type="dxa" w:w="100"/>
            </w:tcMar>
          </w:tcPr>
          <w:p>
            <w:r>
              <w:rPr>
                <w:rFonts w:ascii="Arial" w:cs="Arial" w:eastAsia="Arial" w:hAnsi="Arial"/>
                <w:b w:val="false"/>
                <w:bCs w:val="false"/>
                <w:sz w:val="19"/>
                <w:szCs w:val="19"/>
              </w:rPr>
              <w:t xml:space="preserve">0.15</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10</w:t>
            </w:r>
          </w:p>
        </w:tc>
      </w:tr>
      <w:tr>
        <w:tc>
          <w:tcPr>
            <w:tcW w:type="dxa" w:w="2826"/>
            <w:tcMar>
              <w:top w:type="dxa" w:w="60"/>
              <w:left w:type="dxa" w:w="100"/>
              <w:bottom w:type="dxa" w:w="60"/>
              <w:right w:type="dxa" w:w="100"/>
            </w:tcMar>
          </w:tcPr>
          <w:p>
            <w:r>
              <w:rPr>
                <w:rFonts w:ascii="Arial" w:cs="Arial" w:eastAsia="Arial" w:hAnsi="Arial"/>
                <w:b w:val="false"/>
                <w:bCs w:val="false"/>
                <w:sz w:val="19"/>
                <w:szCs w:val="19"/>
              </w:rPr>
              <w:t xml:space="preserve">Weighted score</w:t>
            </w:r>
          </w:p>
        </w:tc>
        <w:tc>
          <w:tcPr>
            <w:tcW w:type="dxa" w:w="1000"/>
            <w:tcMar>
              <w:top w:type="dxa" w:w="60"/>
              <w:left w:type="dxa" w:w="100"/>
              <w:bottom w:type="dxa" w:w="60"/>
              <w:right w:type="dxa" w:w="100"/>
            </w:tcMar>
          </w:tcPr>
          <w:p>
            <w:r>
              <w:rPr>
                <w:rFonts w:ascii="Arial" w:cs="Arial" w:eastAsia="Arial" w:hAnsi="Arial"/>
                <w:b w:val="false"/>
                <w:bCs w:val="false"/>
                <w:sz w:val="19"/>
                <w:szCs w:val="19"/>
              </w:rPr>
              <w:t xml:space="preserve">1.00</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6.35</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5.20</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5.90</w:t>
            </w:r>
          </w:p>
        </w:tc>
        <w:tc>
          <w:tcPr>
            <w:tcW w:type="dxa" w:w="1300"/>
            <w:tcMar>
              <w:top w:type="dxa" w:w="60"/>
              <w:left w:type="dxa" w:w="100"/>
              <w:bottom w:type="dxa" w:w="60"/>
              <w:right w:type="dxa" w:w="100"/>
            </w:tcMar>
          </w:tcPr>
          <w:p>
            <w:r>
              <w:rPr>
                <w:rFonts w:ascii="Arial" w:cs="Arial" w:eastAsia="Arial" w:hAnsi="Arial"/>
                <w:b w:val="false"/>
                <w:bCs w:val="false"/>
                <w:sz w:val="19"/>
                <w:szCs w:val="19"/>
              </w:rPr>
              <w:t xml:space="preserve">6.75</w:t>
            </w:r>
          </w:p>
        </w:tc>
      </w:tr>
    </w:tbl>
    <w:p>
      <w:pPr>
        <w:pStyle w:val="Heading2"/>
        <w:spacing w:after="100" w:before="220"/>
      </w:pPr>
      <w:r>
        <w:rPr>
          <w:rFonts w:ascii="Arial" w:cs="Arial" w:eastAsia="Arial" w:hAnsi="Arial"/>
          <w:b/>
          <w:bCs/>
          <w:color w:val="2E75B6"/>
          <w:sz w:val="25"/>
          <w:szCs w:val="25"/>
        </w:rPr>
        <w:t xml:space="preserve">Worked solution</w:t>
      </w:r>
    </w:p>
    <w:p>
      <w:pPr>
        <w:spacing w:after="120"/>
      </w:pPr>
      <w:r>
        <w:rPr>
          <w:rFonts w:ascii="Arial" w:cs="Arial" w:eastAsia="Arial" w:hAnsi="Arial"/>
          <w:sz w:val="21"/>
          <w:szCs w:val="21"/>
        </w:rPr>
        <w:t xml:space="preserve">Malaysia = 0.10×6 + 0.15×8 + 0.15×7 + 0.20×6 + 0.15×7 + 0.10×8 + 0.15×3 = 0.60 + 1.20 + 1.05 + 1.20 + 1.05 + 0.80 + 0.45 = 6.35.</w:t>
      </w:r>
    </w:p>
    <w:p>
      <w:pPr>
        <w:spacing w:after="120"/>
      </w:pPr>
      <w:r>
        <w:rPr>
          <w:rFonts w:ascii="Arial" w:cs="Arial" w:eastAsia="Arial" w:hAnsi="Arial"/>
          <w:sz w:val="21"/>
          <w:szCs w:val="21"/>
        </w:rPr>
        <w:t xml:space="preserve">Similarly: Vietnam 5.20, Thailand 5.90, Indonesia 6.75. Ranking: Indonesia &gt; Malaysia &gt; Thailand &gt; Vietnam.</w:t>
      </w:r>
    </w:p>
    <w:p>
      <w:pPr>
        <w:pStyle w:val="Heading2"/>
        <w:spacing w:after="100" w:before="220"/>
      </w:pPr>
      <w:r>
        <w:rPr>
          <w:rFonts w:ascii="Arial" w:cs="Arial" w:eastAsia="Arial" w:hAnsi="Arial"/>
          <w:b/>
          <w:bCs/>
          <w:color w:val="2E75B6"/>
          <w:sz w:val="25"/>
          <w:szCs w:val="25"/>
        </w:rPr>
        <w:t xml:space="preserve">Sensitivity</w:t>
      </w:r>
    </w:p>
    <w:p>
      <w:pPr>
        <w:pStyle w:val="ListParagraph"/>
        <w:numPr>
          <w:ilvl w:val="0"/>
          <w:numId w:val="2"/>
        </w:numPr>
        <w:spacing w:after="60"/>
      </w:pPr>
      <w:r>
        <w:rPr>
          <w:rFonts w:ascii="Arial" w:cs="Arial" w:eastAsia="Arial" w:hAnsi="Arial"/>
          <w:b/>
          <w:bCs/>
          <w:sz w:val="21"/>
          <w:szCs w:val="21"/>
        </w:rPr>
        <w:t xml:space="preserve">Tariff weight: </w:t>
      </w:r>
      <w:r>
        <w:rPr>
          <w:rFonts w:ascii="Arial" w:cs="Arial" w:eastAsia="Arial" w:hAnsi="Arial"/>
          <w:sz w:val="21"/>
          <w:szCs w:val="21"/>
        </w:rPr>
        <w:t xml:space="preserve">Malaysia and Indonesia both score 6 on the tariff row, so changing the tariff weight alone can never flip their order. It does widen Malaysia’s and Indonesia’s lead over Vietnam (score 4).</w:t>
      </w:r>
    </w:p>
    <w:p>
      <w:pPr>
        <w:pStyle w:val="ListParagraph"/>
        <w:numPr>
          <w:ilvl w:val="0"/>
          <w:numId w:val="2"/>
        </w:numPr>
        <w:spacing w:after="60"/>
      </w:pPr>
      <w:r>
        <w:rPr>
          <w:rFonts w:ascii="Arial" w:cs="Arial" w:eastAsia="Arial" w:hAnsi="Arial"/>
          <w:b/>
          <w:bCs/>
          <w:sz w:val="21"/>
          <w:szCs w:val="21"/>
        </w:rPr>
        <w:t xml:space="preserve">Raw-material weight: </w:t>
      </w:r>
      <w:r>
        <w:rPr>
          <w:rFonts w:ascii="Arial" w:cs="Arial" w:eastAsia="Arial" w:hAnsi="Arial"/>
          <w:sz w:val="21"/>
          <w:szCs w:val="21"/>
        </w:rPr>
        <w:t xml:space="preserve">Indonesia’s lead comes entirely from nickel (10 vs 3). Shifting weight from raw materials to the tariff row, the two tie at a raw-material weight of 0.15 − 0.40/7 ≈ 0.093. Below that, Malaysia leads.</w:t>
      </w:r>
    </w:p>
    <w:p>
      <w:pPr>
        <w:pStyle w:val="ListParagraph"/>
        <w:numPr>
          <w:ilvl w:val="0"/>
          <w:numId w:val="2"/>
        </w:numPr>
        <w:spacing w:after="60"/>
      </w:pPr>
      <w:r>
        <w:rPr>
          <w:rFonts w:ascii="Arial" w:cs="Arial" w:eastAsia="Arial" w:hAnsi="Arial"/>
          <w:b/>
          <w:bCs/>
          <w:sz w:val="21"/>
          <w:szCs w:val="21"/>
        </w:rPr>
        <w:t xml:space="preserve">LFP case (raw-material weight 0, tariff weight 0.35): </w:t>
      </w:r>
      <w:r>
        <w:rPr>
          <w:rFonts w:ascii="Arial" w:cs="Arial" w:eastAsia="Arial" w:hAnsi="Arial"/>
          <w:sz w:val="21"/>
          <w:szCs w:val="21"/>
        </w:rPr>
        <w:t xml:space="preserve">Malaysia 6.80, Thailand 6.20, Indonesia 6.15, Vietnam 5.35. Malaysia wins clearly.</w:t>
      </w:r>
    </w:p>
    <w:p>
      <w:pPr>
        <w:pStyle w:val="Heading2"/>
        <w:spacing w:after="100" w:before="220"/>
      </w:pPr>
      <w:r>
        <w:rPr>
          <w:rFonts w:ascii="Arial" w:cs="Arial" w:eastAsia="Arial" w:hAnsi="Arial"/>
          <w:b/>
          <w:bCs/>
          <w:color w:val="2E75B6"/>
          <w:sz w:val="25"/>
          <w:szCs w:val="25"/>
        </w:rPr>
        <w:t xml:space="preserve">Interpretation</w:t>
      </w:r>
    </w:p>
    <w:p>
      <w:pPr>
        <w:spacing w:after="120"/>
      </w:pPr>
      <w:r>
        <w:rPr>
          <w:rFonts w:ascii="Arial" w:cs="Arial" w:eastAsia="Arial" w:hAnsi="Arial"/>
          <w:sz w:val="21"/>
          <w:szCs w:val="21"/>
        </w:rPr>
        <w:t xml:space="preserve">The “best” location depends on the product’s technology. A nickel-rich NMC cathode chain points to Indonesia; an LFP or cylindrical-cell plant (EVE Energy’s Kulim profile) points to Malaysia. This explains why Chinese battery investment split between Indonesia (nickel processing) and Malaysia (cells, ESS, materials).</w:t>
      </w:r>
    </w:p>
    <w:p>
      <w:pPr>
        <w:pStyle w:val="Heading2"/>
        <w:spacing w:after="100" w:before="220"/>
      </w:pPr>
      <w:r>
        <w:rPr>
          <w:rFonts w:ascii="Arial" w:cs="Arial" w:eastAsia="Arial" w:hAnsi="Arial"/>
          <w:b/>
          <w:bCs/>
          <w:color w:val="2E75B6"/>
          <w:sz w:val="25"/>
          <w:szCs w:val="25"/>
        </w:rPr>
        <w:t xml:space="preserve">What students usually get wrong</w:t>
      </w:r>
    </w:p>
    <w:p>
      <w:pPr>
        <w:pStyle w:val="ListParagraph"/>
        <w:numPr>
          <w:ilvl w:val="0"/>
          <w:numId w:val="2"/>
        </w:numPr>
        <w:spacing w:after="60"/>
      </w:pPr>
      <w:r>
        <w:rPr>
          <w:rFonts w:ascii="Arial" w:cs="Arial" w:eastAsia="Arial" w:hAnsi="Arial"/>
          <w:sz w:val="21"/>
          <w:szCs w:val="21"/>
        </w:rPr>
        <w:t xml:space="preserve">Treating the weights as fixed facts. Push them to justify each weight and run at least one sensitivity.</w:t>
      </w:r>
    </w:p>
    <w:p>
      <w:pPr>
        <w:pStyle w:val="ListParagraph"/>
        <w:numPr>
          <w:ilvl w:val="0"/>
          <w:numId w:val="2"/>
        </w:numPr>
        <w:spacing w:after="60"/>
      </w:pPr>
      <w:r>
        <w:rPr>
          <w:rFonts w:ascii="Arial" w:cs="Arial" w:eastAsia="Arial" w:hAnsi="Arial"/>
          <w:sz w:val="21"/>
          <w:szCs w:val="21"/>
        </w:rPr>
        <w:t xml:space="preserve">Scoring “tariff exposure” by headline rates only (Malaysia, Thailand, Indonesia all ~19%). The real differentiator is origin scrutiny and AD/CVD history.</w:t>
      </w:r>
    </w:p>
    <w:p>
      <w:pPr>
        <w:pStyle w:val="ListParagraph"/>
        <w:numPr>
          <w:ilvl w:val="0"/>
          <w:numId w:val="2"/>
        </w:numPr>
        <w:spacing w:after="60"/>
      </w:pPr>
      <w:r>
        <w:rPr>
          <w:rFonts w:ascii="Arial" w:cs="Arial" w:eastAsia="Arial" w:hAnsi="Arial"/>
          <w:sz w:val="21"/>
          <w:szCs w:val="21"/>
        </w:rPr>
        <w:t xml:space="preserve">Ignoring what the model omits: ownership rules (FEOC), the cluster effect, and infrastructure limits that change over time.</w:t>
      </w:r>
    </w:p>
    <w:p>
      <w:pPr>
        <w:pStyle w:val="ListParagraph"/>
        <w:numPr>
          <w:ilvl w:val="0"/>
          <w:numId w:val="2"/>
        </w:numPr>
        <w:spacing w:after="60"/>
      </w:pPr>
      <w:r>
        <w:rPr>
          <w:rFonts w:ascii="Arial" w:cs="Arial" w:eastAsia="Arial" w:hAnsi="Arial"/>
          <w:sz w:val="21"/>
          <w:szCs w:val="21"/>
        </w:rPr>
        <w:t xml:space="preserve">Forgetting to check that the weights sum to 1.</w:t>
      </w:r>
    </w:p>
    <w:p>
      <w:pPr>
        <w:pStyle w:val="Heading1"/>
        <w:spacing w:after="150" w:before="300"/>
      </w:pPr>
      <w:r>
        <w:rPr>
          <w:rFonts w:ascii="Arial" w:cs="Arial" w:eastAsia="Arial" w:hAnsi="Arial"/>
          <w:b/>
          <w:bCs/>
          <w:color w:val="1F4E78"/>
          <w:sz w:val="30"/>
          <w:szCs w:val="30"/>
        </w:rPr>
        <w:t xml:space="preserve">Exercise B — Total landed cost under tariff scenarios</w:t>
      </w:r>
    </w:p>
    <w:p>
      <w:pPr>
        <w:spacing w:after="120"/>
      </w:pPr>
      <w:r>
        <w:rPr>
          <w:rFonts w:ascii="Arial" w:cs="Arial" w:eastAsia="Arial" w:hAnsi="Arial"/>
          <w:sz w:val="21"/>
          <w:szCs w:val="21"/>
        </w:rPr>
        <w:t xml:space="preserve">Assumptions: duty is assessed on the US$100 customs value; the US$6 freight is not dutiable; AD/CVD stacks on top of the 19% reciprocal tariff; localising inputs to 50% adds US$8 and secures origin at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rPr>
          <w:tblHeader/>
        </w:trPr>
        <w:tc>
          <w:tcPr>
            <w:tcW w:type="dxa" w:w="3226"/>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Scenario</w:t>
            </w:r>
          </w:p>
        </w:tc>
        <w:tc>
          <w:tcPr>
            <w:tcW w:type="dxa" w:w="145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Customs value</w:t>
            </w:r>
          </w:p>
        </w:tc>
        <w:tc>
          <w:tcPr>
            <w:tcW w:type="dxa" w:w="145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Freight</w:t>
            </w:r>
          </w:p>
        </w:tc>
        <w:tc>
          <w:tcPr>
            <w:tcW w:type="dxa" w:w="145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Duty</w:t>
            </w:r>
          </w:p>
        </w:tc>
        <w:tc>
          <w:tcPr>
            <w:tcW w:type="dxa" w:w="145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Landed cost</w:t>
            </w:r>
          </w:p>
        </w:tc>
      </w:tr>
      <w:tr>
        <w:tc>
          <w:tcPr>
            <w:tcW w:type="dxa" w:w="3226"/>
            <w:tcMar>
              <w:top w:type="dxa" w:w="60"/>
              <w:left w:type="dxa" w:w="100"/>
              <w:bottom w:type="dxa" w:w="60"/>
              <w:right w:type="dxa" w:w="100"/>
            </w:tcMar>
          </w:tcPr>
          <w:p>
            <w:r>
              <w:rPr>
                <w:rFonts w:ascii="Arial" w:cs="Arial" w:eastAsia="Arial" w:hAnsi="Arial"/>
                <w:b w:val="false"/>
                <w:bCs w:val="false"/>
                <w:sz w:val="19"/>
                <w:szCs w:val="19"/>
              </w:rPr>
              <w:t xml:space="preserve">1. Reciprocal 19%</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$100.00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$6.00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$19.00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$125.00</w:t>
            </w:r>
          </w:p>
        </w:tc>
      </w:tr>
      <w:tr>
        <w:tc>
          <w:tcPr>
            <w:tcW w:type="dxa" w:w="3226"/>
            <w:tcMar>
              <w:top w:type="dxa" w:w="60"/>
              <w:left w:type="dxa" w:w="100"/>
              <w:bottom w:type="dxa" w:w="60"/>
              <w:right w:type="dxa" w:w="100"/>
            </w:tcMar>
          </w:tcPr>
          <w:p>
            <w:r>
              <w:rPr>
                <w:rFonts w:ascii="Arial" w:cs="Arial" w:eastAsia="Arial" w:hAnsi="Arial"/>
                <w:b w:val="false"/>
                <w:bCs w:val="false"/>
                <w:sz w:val="19"/>
                <w:szCs w:val="19"/>
              </w:rPr>
              <w:t xml:space="preserve">2. Transhipment finding 40%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$100.00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$6.00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$40.00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$146.00</w:t>
            </w:r>
          </w:p>
        </w:tc>
      </w:tr>
      <w:tr>
        <w:tc>
          <w:tcPr>
            <w:tcW w:type="dxa" w:w="3226"/>
            <w:tcMar>
              <w:top w:type="dxa" w:w="60"/>
              <w:left w:type="dxa" w:w="100"/>
              <w:bottom w:type="dxa" w:w="60"/>
              <w:right w:type="dxa" w:w="100"/>
            </w:tcMar>
          </w:tcPr>
          <w:p>
            <w:r>
              <w:rPr>
                <w:rFonts w:ascii="Arial" w:cs="Arial" w:eastAsia="Arial" w:hAnsi="Arial"/>
                <w:b w:val="false"/>
                <w:bCs w:val="false"/>
                <w:sz w:val="19"/>
                <w:szCs w:val="19"/>
              </w:rPr>
              <w:t xml:space="preserve">3. AD/CVD 100% + reciprocal 19%</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$100.00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$6.00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$119.00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$225.00</w:t>
            </w:r>
          </w:p>
        </w:tc>
      </w:tr>
      <w:tr>
        <w:tc>
          <w:tcPr>
            <w:tcW w:type="dxa" w:w="3226"/>
            <w:tcMar>
              <w:top w:type="dxa" w:w="60"/>
              <w:left w:type="dxa" w:w="100"/>
              <w:bottom w:type="dxa" w:w="60"/>
              <w:right w:type="dxa" w:w="100"/>
            </w:tcMar>
          </w:tcPr>
          <w:p>
            <w:r>
              <w:rPr>
                <w:rFonts w:ascii="Arial" w:cs="Arial" w:eastAsia="Arial" w:hAnsi="Arial"/>
                <w:b w:val="false"/>
                <w:bCs w:val="false"/>
                <w:sz w:val="19"/>
                <w:szCs w:val="19"/>
              </w:rPr>
              <w:t xml:space="preserve">4. Localise to 50% (19%)</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$108.00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$6.00</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$20.52</w:t>
            </w:r>
          </w:p>
        </w:tc>
        <w:tc>
          <w:tcPr>
            <w:tcW w:type="dxa" w:w="1450"/>
            <w:tcMar>
              <w:top w:type="dxa" w:w="60"/>
              <w:left w:type="dxa" w:w="100"/>
              <w:bottom w:type="dxa" w:w="60"/>
              <w:right w:type="dxa" w:w="100"/>
            </w:tcMar>
          </w:tcPr>
          <w:p>
            <w:r>
              <w:rPr>
                <w:rFonts w:ascii="Arial" w:cs="Arial" w:eastAsia="Arial" w:hAnsi="Arial"/>
                <w:b w:val="false"/>
                <w:bCs w:val="false"/>
                <w:sz w:val="19"/>
                <w:szCs w:val="19"/>
              </w:rPr>
              <w:t xml:space="preserve">$134.52</w:t>
            </w:r>
          </w:p>
        </w:tc>
      </w:tr>
    </w:tbl>
    <w:p>
      <w:pPr>
        <w:pStyle w:val="Heading2"/>
        <w:spacing w:after="100" w:before="220"/>
      </w:pPr>
      <w:r>
        <w:rPr>
          <w:rFonts w:ascii="Arial" w:cs="Arial" w:eastAsia="Arial" w:hAnsi="Arial"/>
          <w:b/>
          <w:bCs/>
          <w:color w:val="2E75B6"/>
          <w:sz w:val="25"/>
          <w:szCs w:val="25"/>
        </w:rPr>
        <w:t xml:space="preserve">Break-even risk probability</w:t>
      </w:r>
    </w:p>
    <w:p>
      <w:pPr>
        <w:spacing w:after="120"/>
      </w:pPr>
      <w:r>
        <w:rPr>
          <w:rFonts w:ascii="Arial" w:cs="Arial" w:eastAsia="Arial" w:hAnsi="Arial"/>
          <w:sz w:val="21"/>
          <w:szCs w:val="21"/>
        </w:rPr>
        <w:t xml:space="preserve">Localisation costs $134.52 for certain. Not localising costs $125 with probability (1 − p) and the penalty cost with probability p.</w:t>
      </w:r>
    </w:p>
    <w:p>
      <w:pPr>
        <w:pStyle w:val="ListParagraph"/>
        <w:numPr>
          <w:ilvl w:val="0"/>
          <w:numId w:val="2"/>
        </w:numPr>
        <w:spacing w:after="60"/>
      </w:pPr>
      <w:r>
        <w:rPr>
          <w:rFonts w:ascii="Arial" w:cs="Arial" w:eastAsia="Arial" w:hAnsi="Arial"/>
          <w:b/>
          <w:bCs/>
          <w:sz w:val="21"/>
          <w:szCs w:val="21"/>
        </w:rPr>
        <w:t xml:space="preserve">Transhipment risk: </w:t>
      </w:r>
      <w:r>
        <w:rPr>
          <w:rFonts w:ascii="Arial" w:cs="Arial" w:eastAsia="Arial" w:hAnsi="Arial"/>
          <w:sz w:val="21"/>
          <w:szCs w:val="21"/>
        </w:rPr>
        <w:t xml:space="preserve">125 + 21p = 134.52 → p* = 9.52 / 21 = 0.453. Localise if the chance of a 40% finding exceeds about 45%.</w:t>
      </w:r>
    </w:p>
    <w:p>
      <w:pPr>
        <w:pStyle w:val="ListParagraph"/>
        <w:numPr>
          <w:ilvl w:val="0"/>
          <w:numId w:val="2"/>
        </w:numPr>
        <w:spacing w:after="60"/>
      </w:pPr>
      <w:r>
        <w:rPr>
          <w:rFonts w:ascii="Arial" w:cs="Arial" w:eastAsia="Arial" w:hAnsi="Arial"/>
          <w:b/>
          <w:bCs/>
          <w:sz w:val="21"/>
          <w:szCs w:val="21"/>
        </w:rPr>
        <w:t xml:space="preserve">AD/CVD risk: </w:t>
      </w:r>
      <w:r>
        <w:rPr>
          <w:rFonts w:ascii="Arial" w:cs="Arial" w:eastAsia="Arial" w:hAnsi="Arial"/>
          <w:sz w:val="21"/>
          <w:szCs w:val="21"/>
        </w:rPr>
        <w:t xml:space="preserve">125 + 100q = 134.52 → q* = 9.52 / 100 ≈ 0.095. Localise if the chance of an AD/CVD order exceeds about 10%.</w:t>
      </w:r>
    </w:p>
    <w:p>
      <w:pPr>
        <w:pStyle w:val="Heading2"/>
        <w:spacing w:after="100" w:before="220"/>
      </w:pPr>
      <w:r>
        <w:rPr>
          <w:rFonts w:ascii="Arial" w:cs="Arial" w:eastAsia="Arial" w:hAnsi="Arial"/>
          <w:b/>
          <w:bCs/>
          <w:color w:val="2E75B6"/>
          <w:sz w:val="25"/>
          <w:szCs w:val="25"/>
        </w:rPr>
        <w:t xml:space="preserve">Interpretation</w:t>
      </w:r>
    </w:p>
    <w:p>
      <w:pPr>
        <w:spacing w:after="120"/>
      </w:pPr>
      <w:r>
        <w:rPr>
          <w:rFonts w:ascii="Arial" w:cs="Arial" w:eastAsia="Arial" w:hAnsi="Arial"/>
          <w:sz w:val="21"/>
          <w:szCs w:val="21"/>
        </w:rPr>
        <w:t xml:space="preserve">A modest probability of a trade-remedy case justifies paying up for local content. The solar precedent (Malaysia AD/CVD up to 168.8% in 2025) suggests q is well above 10% for an assembly-only plant with 70% Chinese inputs. Localisation is insurance; its premium here is $9.52 per unit (7.6%).</w:t>
      </w:r>
    </w:p>
    <w:p>
      <w:pPr>
        <w:pStyle w:val="Heading2"/>
        <w:spacing w:after="100" w:before="220"/>
      </w:pPr>
      <w:r>
        <w:rPr>
          <w:rFonts w:ascii="Arial" w:cs="Arial" w:eastAsia="Arial" w:hAnsi="Arial"/>
          <w:b/>
          <w:bCs/>
          <w:color w:val="2E75B6"/>
          <w:sz w:val="25"/>
          <w:szCs w:val="25"/>
        </w:rPr>
        <w:t xml:space="preserve">What students usually get wrong</w:t>
      </w:r>
    </w:p>
    <w:p>
      <w:pPr>
        <w:pStyle w:val="ListParagraph"/>
        <w:numPr>
          <w:ilvl w:val="0"/>
          <w:numId w:val="2"/>
        </w:numPr>
        <w:spacing w:after="60"/>
      </w:pPr>
      <w:r>
        <w:rPr>
          <w:rFonts w:ascii="Arial" w:cs="Arial" w:eastAsia="Arial" w:hAnsi="Arial"/>
          <w:sz w:val="21"/>
          <w:szCs w:val="21"/>
        </w:rPr>
        <w:t xml:space="preserve">Applying duty to the freight-inclusive value (US practice uses transaction value, excluding international freight).</w:t>
      </w:r>
    </w:p>
    <w:p>
      <w:pPr>
        <w:pStyle w:val="ListParagraph"/>
        <w:numPr>
          <w:ilvl w:val="0"/>
          <w:numId w:val="2"/>
        </w:numPr>
        <w:spacing w:after="60"/>
      </w:pPr>
      <w:r>
        <w:rPr>
          <w:rFonts w:ascii="Arial" w:cs="Arial" w:eastAsia="Arial" w:hAnsi="Arial"/>
          <w:sz w:val="21"/>
          <w:szCs w:val="21"/>
        </w:rPr>
        <w:t xml:space="preserve">Adding AD/CVD instead of the reciprocal rate rather than on top of it.</w:t>
      </w:r>
    </w:p>
    <w:p>
      <w:pPr>
        <w:pStyle w:val="ListParagraph"/>
        <w:numPr>
          <w:ilvl w:val="0"/>
          <w:numId w:val="2"/>
        </w:numPr>
        <w:spacing w:after="60"/>
      </w:pPr>
      <w:r>
        <w:rPr>
          <w:rFonts w:ascii="Arial" w:cs="Arial" w:eastAsia="Arial" w:hAnsi="Arial"/>
          <w:sz w:val="21"/>
          <w:szCs w:val="21"/>
        </w:rPr>
        <w:t xml:space="preserve">Treating the decision as deterministic — the point is to price policy risk as a probability.</w:t>
      </w:r>
    </w:p>
    <w:p>
      <w:pPr>
        <w:pStyle w:val="ListParagraph"/>
        <w:numPr>
          <w:ilvl w:val="0"/>
          <w:numId w:val="2"/>
        </w:numPr>
        <w:spacing w:after="60"/>
      </w:pPr>
      <w:r>
        <w:rPr>
          <w:rFonts w:ascii="Arial" w:cs="Arial" w:eastAsia="Arial" w:hAnsi="Arial"/>
          <w:sz w:val="21"/>
          <w:szCs w:val="21"/>
        </w:rPr>
        <w:t xml:space="preserve">Assuming 50% local content automatically secures origin; in practice it depends on where substantial transformation happens.</w:t>
      </w:r>
    </w:p>
    <w:p>
      <w:pPr>
        <w:pStyle w:val="Heading1"/>
        <w:spacing w:after="150" w:before="300"/>
      </w:pPr>
      <w:r>
        <w:rPr>
          <w:rFonts w:ascii="Arial" w:cs="Arial" w:eastAsia="Arial" w:hAnsi="Arial"/>
          <w:b/>
          <w:bCs/>
          <w:color w:val="1F4E78"/>
          <w:sz w:val="30"/>
          <w:szCs w:val="30"/>
        </w:rPr>
        <w:t xml:space="preserve">Exercise C — Learning curve and the CBU → CKD switch</w:t>
      </w:r>
    </w:p>
    <w:p>
      <w:pPr>
        <w:spacing w:after="120"/>
      </w:pPr>
      <w:r>
        <w:rPr>
          <w:rFonts w:ascii="Arial" w:cs="Arial" w:eastAsia="Arial" w:hAnsi="Arial"/>
          <w:sz w:val="21"/>
          <w:szCs w:val="21"/>
        </w:rPr>
        <w:t xml:space="preserve">Model: T(n) = T1 × n^b, with b = log2(learning rate). Inputs: T1 = 100 hours, learning rate 90%, target 30 hours, phase-1 output 20,000 vehicles a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rPr>
          <w:tblHeader/>
        </w:trPr>
        <w:tc>
          <w:tcPr>
            <w:tcW w:type="dxa" w:w="30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Quantity</w:t>
            </w:r>
          </w:p>
        </w:tc>
        <w:tc>
          <w:tcPr>
            <w:tcW w:type="dxa" w:w="3526"/>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Formula</w:t>
            </w:r>
          </w:p>
        </w:tc>
        <w:tc>
          <w:tcPr>
            <w:tcW w:type="dxa" w:w="25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Result</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Exponent b</w:t>
            </w:r>
          </w:p>
        </w:tc>
        <w:tc>
          <w:tcPr>
            <w:tcW w:type="dxa" w:w="3526"/>
            <w:tcMar>
              <w:top w:type="dxa" w:w="60"/>
              <w:left w:type="dxa" w:w="100"/>
              <w:bottom w:type="dxa" w:w="60"/>
              <w:right w:type="dxa" w:w="100"/>
            </w:tcMar>
          </w:tcPr>
          <w:p>
            <w:r>
              <w:rPr>
                <w:rFonts w:ascii="Arial" w:cs="Arial" w:eastAsia="Arial" w:hAnsi="Arial"/>
                <w:b w:val="false"/>
                <w:bCs w:val="false"/>
                <w:sz w:val="19"/>
                <w:szCs w:val="19"/>
              </w:rPr>
              <w:t xml:space="preserve">ln(0.90) / ln(2)</w:t>
            </w:r>
          </w:p>
        </w:tc>
        <w:tc>
          <w:tcPr>
            <w:tcW w:type="dxa" w:w="2500"/>
            <w:tcMar>
              <w:top w:type="dxa" w:w="60"/>
              <w:left w:type="dxa" w:w="100"/>
              <w:bottom w:type="dxa" w:w="60"/>
              <w:right w:type="dxa" w:w="100"/>
            </w:tcMar>
          </w:tcPr>
          <w:p>
            <w:r>
              <w:rPr>
                <w:rFonts w:ascii="Arial" w:cs="Arial" w:eastAsia="Arial" w:hAnsi="Arial"/>
                <w:b w:val="false"/>
                <w:bCs w:val="false"/>
                <w:sz w:val="19"/>
                <w:szCs w:val="19"/>
              </w:rPr>
              <w:t xml:space="preserve">−0.152</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Hours at unit 1,000</w:t>
            </w:r>
          </w:p>
        </w:tc>
        <w:tc>
          <w:tcPr>
            <w:tcW w:type="dxa" w:w="3526"/>
            <w:tcMar>
              <w:top w:type="dxa" w:w="60"/>
              <w:left w:type="dxa" w:w="100"/>
              <w:bottom w:type="dxa" w:w="60"/>
              <w:right w:type="dxa" w:w="100"/>
            </w:tcMar>
          </w:tcPr>
          <w:p>
            <w:r>
              <w:rPr>
                <w:rFonts w:ascii="Arial" w:cs="Arial" w:eastAsia="Arial" w:hAnsi="Arial"/>
                <w:b w:val="false"/>
                <w:bCs w:val="false"/>
                <w:sz w:val="19"/>
                <w:szCs w:val="19"/>
              </w:rPr>
              <w:t xml:space="preserve">100 × 1,000^−0.152</w:t>
            </w:r>
          </w:p>
        </w:tc>
        <w:tc>
          <w:tcPr>
            <w:tcW w:type="dxa" w:w="2500"/>
            <w:tcMar>
              <w:top w:type="dxa" w:w="60"/>
              <w:left w:type="dxa" w:w="100"/>
              <w:bottom w:type="dxa" w:w="60"/>
              <w:right w:type="dxa" w:w="100"/>
            </w:tcMar>
          </w:tcPr>
          <w:p>
            <w:r>
              <w:rPr>
                <w:rFonts w:ascii="Arial" w:cs="Arial" w:eastAsia="Arial" w:hAnsi="Arial"/>
                <w:b w:val="false"/>
                <w:bCs w:val="false"/>
                <w:sz w:val="19"/>
                <w:szCs w:val="19"/>
              </w:rPr>
              <w:t xml:space="preserve">≈ 35.0 h</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Hours at unit 10,000</w:t>
            </w:r>
          </w:p>
        </w:tc>
        <w:tc>
          <w:tcPr>
            <w:tcW w:type="dxa" w:w="3526"/>
            <w:tcMar>
              <w:top w:type="dxa" w:w="60"/>
              <w:left w:type="dxa" w:w="100"/>
              <w:bottom w:type="dxa" w:w="60"/>
              <w:right w:type="dxa" w:w="100"/>
            </w:tcMar>
          </w:tcPr>
          <w:p>
            <w:r>
              <w:rPr>
                <w:rFonts w:ascii="Arial" w:cs="Arial" w:eastAsia="Arial" w:hAnsi="Arial"/>
                <w:b w:val="false"/>
                <w:bCs w:val="false"/>
                <w:sz w:val="19"/>
                <w:szCs w:val="19"/>
              </w:rPr>
              <w:t xml:space="preserve">100 × 10,000^−0.152</w:t>
            </w:r>
          </w:p>
        </w:tc>
        <w:tc>
          <w:tcPr>
            <w:tcW w:type="dxa" w:w="2500"/>
            <w:tcMar>
              <w:top w:type="dxa" w:w="60"/>
              <w:left w:type="dxa" w:w="100"/>
              <w:bottom w:type="dxa" w:w="60"/>
              <w:right w:type="dxa" w:w="100"/>
            </w:tcMar>
          </w:tcPr>
          <w:p>
            <w:r>
              <w:rPr>
                <w:rFonts w:ascii="Arial" w:cs="Arial" w:eastAsia="Arial" w:hAnsi="Arial"/>
                <w:b w:val="false"/>
                <w:bCs w:val="false"/>
                <w:sz w:val="19"/>
                <w:szCs w:val="19"/>
              </w:rPr>
              <w:t xml:space="preserve">≈ 24.7 h</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Unit reaching 30 h</w:t>
            </w:r>
          </w:p>
        </w:tc>
        <w:tc>
          <w:tcPr>
            <w:tcW w:type="dxa" w:w="3526"/>
            <w:tcMar>
              <w:top w:type="dxa" w:w="60"/>
              <w:left w:type="dxa" w:w="100"/>
              <w:bottom w:type="dxa" w:w="60"/>
              <w:right w:type="dxa" w:w="100"/>
            </w:tcMar>
          </w:tcPr>
          <w:p>
            <w:r>
              <w:rPr>
                <w:rFonts w:ascii="Arial" w:cs="Arial" w:eastAsia="Arial" w:hAnsi="Arial"/>
                <w:b w:val="false"/>
                <w:bCs w:val="false"/>
                <w:sz w:val="19"/>
                <w:szCs w:val="19"/>
              </w:rPr>
              <w:t xml:space="preserve">(30/100)^(1/−0.152)</w:t>
            </w:r>
          </w:p>
        </w:tc>
        <w:tc>
          <w:tcPr>
            <w:tcW w:type="dxa" w:w="2500"/>
            <w:tcMar>
              <w:top w:type="dxa" w:w="60"/>
              <w:left w:type="dxa" w:w="100"/>
              <w:bottom w:type="dxa" w:w="60"/>
              <w:right w:type="dxa" w:w="100"/>
            </w:tcMar>
          </w:tcPr>
          <w:p>
            <w:r>
              <w:rPr>
                <w:rFonts w:ascii="Arial" w:cs="Arial" w:eastAsia="Arial" w:hAnsi="Arial"/>
                <w:b w:val="false"/>
                <w:bCs w:val="false"/>
                <w:sz w:val="19"/>
                <w:szCs w:val="19"/>
              </w:rPr>
              <w:t xml:space="preserve">≈ 2,754</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Months to target</w:t>
            </w:r>
          </w:p>
        </w:tc>
        <w:tc>
          <w:tcPr>
            <w:tcW w:type="dxa" w:w="3526"/>
            <w:tcMar>
              <w:top w:type="dxa" w:w="60"/>
              <w:left w:type="dxa" w:w="100"/>
              <w:bottom w:type="dxa" w:w="60"/>
              <w:right w:type="dxa" w:w="100"/>
            </w:tcMar>
          </w:tcPr>
          <w:p>
            <w:r>
              <w:rPr>
                <w:rFonts w:ascii="Arial" w:cs="Arial" w:eastAsia="Arial" w:hAnsi="Arial"/>
                <w:b w:val="false"/>
                <w:bCs w:val="false"/>
                <w:sz w:val="19"/>
                <w:szCs w:val="19"/>
              </w:rPr>
              <w:t xml:space="preserve">2,754 / (20,000/12)</w:t>
            </w:r>
          </w:p>
        </w:tc>
        <w:tc>
          <w:tcPr>
            <w:tcW w:type="dxa" w:w="2500"/>
            <w:tcMar>
              <w:top w:type="dxa" w:w="60"/>
              <w:left w:type="dxa" w:w="100"/>
              <w:bottom w:type="dxa" w:w="60"/>
              <w:right w:type="dxa" w:w="100"/>
            </w:tcMar>
          </w:tcPr>
          <w:p>
            <w:r>
              <w:rPr>
                <w:rFonts w:ascii="Arial" w:cs="Arial" w:eastAsia="Arial" w:hAnsi="Arial"/>
                <w:b w:val="false"/>
                <w:bCs w:val="false"/>
                <w:sz w:val="19"/>
                <w:szCs w:val="19"/>
              </w:rPr>
              <w:t xml:space="preserve">≈ 1.65 months</w:t>
            </w:r>
          </w:p>
        </w:tc>
      </w:tr>
    </w:tbl>
    <w:p>
      <w:pPr>
        <w:pStyle w:val="Heading2"/>
        <w:spacing w:after="100" w:before="220"/>
      </w:pPr>
      <w:r>
        <w:rPr>
          <w:rFonts w:ascii="Arial" w:cs="Arial" w:eastAsia="Arial" w:hAnsi="Arial"/>
          <w:b/>
          <w:bCs/>
          <w:color w:val="2E75B6"/>
          <w:sz w:val="25"/>
          <w:szCs w:val="25"/>
        </w:rPr>
        <w:t xml:space="preserve">Interpretation</w:t>
      </w:r>
    </w:p>
    <w:p>
      <w:pPr>
        <w:spacing w:after="120"/>
      </w:pPr>
      <w:r>
        <w:rPr>
          <w:rFonts w:ascii="Arial" w:cs="Arial" w:eastAsia="Arial" w:hAnsi="Arial"/>
          <w:sz w:val="21"/>
          <w:szCs w:val="21"/>
        </w:rPr>
        <w:t xml:space="preserve">At the planned rate the plant reaches its labour target in under two months, so worker learning is not the binding constraint on the CBU → CKD transition. The real constraints are supplier readiness, parts quality and local-content ratios — which take years, not months. Proton’s phased approach (CBU first, CKD, then local parts) is a response to supplier development lead times, and the switch should be planned backwards from the duty-exemption deadline using supplier qualification timelines.</w:t>
      </w:r>
    </w:p>
    <w:p>
      <w:pPr>
        <w:pStyle w:val="Heading2"/>
        <w:spacing w:after="100" w:before="220"/>
      </w:pPr>
      <w:r>
        <w:rPr>
          <w:rFonts w:ascii="Arial" w:cs="Arial" w:eastAsia="Arial" w:hAnsi="Arial"/>
          <w:b/>
          <w:bCs/>
          <w:color w:val="2E75B6"/>
          <w:sz w:val="25"/>
          <w:szCs w:val="25"/>
        </w:rPr>
        <w:t xml:space="preserve">What students usually get wrong</w:t>
      </w:r>
    </w:p>
    <w:p>
      <w:pPr>
        <w:pStyle w:val="ListParagraph"/>
        <w:numPr>
          <w:ilvl w:val="0"/>
          <w:numId w:val="2"/>
        </w:numPr>
        <w:spacing w:after="60"/>
      </w:pPr>
      <w:r>
        <w:rPr>
          <w:rFonts w:ascii="Arial" w:cs="Arial" w:eastAsia="Arial" w:hAnsi="Arial"/>
          <w:sz w:val="21"/>
          <w:szCs w:val="21"/>
        </w:rPr>
        <w:t xml:space="preserve">Using the 90% rate as “10% fewer hours per unit” instead of per doubling of cumulative output.</w:t>
      </w:r>
    </w:p>
    <w:p>
      <w:pPr>
        <w:pStyle w:val="ListParagraph"/>
        <w:numPr>
          <w:ilvl w:val="0"/>
          <w:numId w:val="2"/>
        </w:numPr>
        <w:spacing w:after="60"/>
      </w:pPr>
      <w:r>
        <w:rPr>
          <w:rFonts w:ascii="Arial" w:cs="Arial" w:eastAsia="Arial" w:hAnsi="Arial"/>
          <w:sz w:val="21"/>
          <w:szCs w:val="21"/>
        </w:rPr>
        <w:t xml:space="preserve">Using log base 10 or a natural log without dividing by ln 2.</w:t>
      </w:r>
    </w:p>
    <w:p>
      <w:pPr>
        <w:pStyle w:val="ListParagraph"/>
        <w:numPr>
          <w:ilvl w:val="0"/>
          <w:numId w:val="2"/>
        </w:numPr>
        <w:spacing w:after="60"/>
      </w:pPr>
      <w:r>
        <w:rPr>
          <w:rFonts w:ascii="Arial" w:cs="Arial" w:eastAsia="Arial" w:hAnsi="Arial"/>
          <w:sz w:val="21"/>
          <w:szCs w:val="21"/>
        </w:rPr>
        <w:t xml:space="preserve">Concluding the transition is easy — miss the distinction between labour learning and supply-chain learning.</w:t>
      </w:r>
    </w:p>
    <w:p>
      <w:pPr>
        <w:pStyle w:val="Heading1"/>
        <w:spacing w:after="150" w:before="300"/>
      </w:pPr>
      <w:r>
        <w:rPr>
          <w:rFonts w:ascii="Arial" w:cs="Arial" w:eastAsia="Arial" w:hAnsi="Arial"/>
          <w:b/>
          <w:bCs/>
          <w:color w:val="1F4E78"/>
          <w:sz w:val="30"/>
          <w:szCs w:val="30"/>
        </w:rPr>
        <w:t xml:space="preserve">Exercise D — AHTV capacity break-even</w:t>
      </w:r>
    </w:p>
    <w:p>
      <w:pPr>
        <w:spacing w:after="120"/>
      </w:pPr>
      <w:r>
        <w:rPr>
          <w:rFonts w:ascii="Arial" w:cs="Arial" w:eastAsia="Arial" w:hAnsi="Arial"/>
          <w:sz w:val="21"/>
          <w:szCs w:val="21"/>
        </w:rPr>
        <w:t xml:space="preserve">Inputs: fixed cost RM1.8bn a year, contribution margin RM6,000 per vehicle, capacity 500,000, total industry volume 815,000, 2025 exports about 6,000.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26"/>
        <w:gridCol w:w="2800"/>
      </w:tblGrid>
      <w:tr>
        <w:trPr>
          <w:tblHeader/>
        </w:trPr>
        <w:tc>
          <w:tcPr>
            <w:tcW w:type="dxa" w:w="30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Quantity</w:t>
            </w:r>
          </w:p>
        </w:tc>
        <w:tc>
          <w:tcPr>
            <w:tcW w:type="dxa" w:w="3226"/>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Formula</w:t>
            </w:r>
          </w:p>
        </w:tc>
        <w:tc>
          <w:tcPr>
            <w:tcW w:type="dxa" w:w="28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Result</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Break-even volume</w:t>
            </w:r>
          </w:p>
        </w:tc>
        <w:tc>
          <w:tcPr>
            <w:tcW w:type="dxa" w:w="3226"/>
            <w:tcMar>
              <w:top w:type="dxa" w:w="60"/>
              <w:left w:type="dxa" w:w="100"/>
              <w:bottom w:type="dxa" w:w="60"/>
              <w:right w:type="dxa" w:w="100"/>
            </w:tcMar>
          </w:tcPr>
          <w:p>
            <w:r>
              <w:rPr>
                <w:rFonts w:ascii="Arial" w:cs="Arial" w:eastAsia="Arial" w:hAnsi="Arial"/>
                <w:b w:val="false"/>
                <w:bCs w:val="false"/>
                <w:sz w:val="19"/>
                <w:szCs w:val="19"/>
              </w:rPr>
              <w:t xml:space="preserve">1.8bn / 6,000</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300,000 vehicles</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Break-even utilisation</w:t>
            </w:r>
          </w:p>
        </w:tc>
        <w:tc>
          <w:tcPr>
            <w:tcW w:type="dxa" w:w="3226"/>
            <w:tcMar>
              <w:top w:type="dxa" w:w="60"/>
              <w:left w:type="dxa" w:w="100"/>
              <w:bottom w:type="dxa" w:w="60"/>
              <w:right w:type="dxa" w:w="100"/>
            </w:tcMar>
          </w:tcPr>
          <w:p>
            <w:r>
              <w:rPr>
                <w:rFonts w:ascii="Arial" w:cs="Arial" w:eastAsia="Arial" w:hAnsi="Arial"/>
                <w:b w:val="false"/>
                <w:bCs w:val="false"/>
                <w:sz w:val="19"/>
                <w:szCs w:val="19"/>
              </w:rPr>
              <w:t xml:space="preserve">300,000 / 500,000</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60%</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Domestic volume at 25% share</w:t>
            </w:r>
          </w:p>
        </w:tc>
        <w:tc>
          <w:tcPr>
            <w:tcW w:type="dxa" w:w="3226"/>
            <w:tcMar>
              <w:top w:type="dxa" w:w="60"/>
              <w:left w:type="dxa" w:w="100"/>
              <w:bottom w:type="dxa" w:w="60"/>
              <w:right w:type="dxa" w:w="100"/>
            </w:tcMar>
          </w:tcPr>
          <w:p>
            <w:r>
              <w:rPr>
                <w:rFonts w:ascii="Arial" w:cs="Arial" w:eastAsia="Arial" w:hAnsi="Arial"/>
                <w:b w:val="false"/>
                <w:bCs w:val="false"/>
                <w:sz w:val="19"/>
                <w:szCs w:val="19"/>
              </w:rPr>
              <w:t xml:space="preserve">815,000 × 25%</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203,750</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Exports needed (25%)</w:t>
            </w:r>
          </w:p>
        </w:tc>
        <w:tc>
          <w:tcPr>
            <w:tcW w:type="dxa" w:w="3226"/>
            <w:tcMar>
              <w:top w:type="dxa" w:w="60"/>
              <w:left w:type="dxa" w:w="100"/>
              <w:bottom w:type="dxa" w:w="60"/>
              <w:right w:type="dxa" w:w="100"/>
            </w:tcMar>
          </w:tcPr>
          <w:p>
            <w:r>
              <w:rPr>
                <w:rFonts w:ascii="Arial" w:cs="Arial" w:eastAsia="Arial" w:hAnsi="Arial"/>
                <w:b w:val="false"/>
                <w:bCs w:val="false"/>
                <w:sz w:val="19"/>
                <w:szCs w:val="19"/>
              </w:rPr>
              <w:t xml:space="preserve">300,000 − 203,750</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96,250 (≈ 16× 2025)</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Domestic volume at 18% share</w:t>
            </w:r>
          </w:p>
        </w:tc>
        <w:tc>
          <w:tcPr>
            <w:tcW w:type="dxa" w:w="3226"/>
            <w:tcMar>
              <w:top w:type="dxa" w:w="60"/>
              <w:left w:type="dxa" w:w="100"/>
              <w:bottom w:type="dxa" w:w="60"/>
              <w:right w:type="dxa" w:w="100"/>
            </w:tcMar>
          </w:tcPr>
          <w:p>
            <w:r>
              <w:rPr>
                <w:rFonts w:ascii="Arial" w:cs="Arial" w:eastAsia="Arial" w:hAnsi="Arial"/>
                <w:b w:val="false"/>
                <w:bCs w:val="false"/>
                <w:sz w:val="19"/>
                <w:szCs w:val="19"/>
              </w:rPr>
              <w:t xml:space="preserve">815,000 × 18%</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146,700</w:t>
            </w:r>
          </w:p>
        </w:tc>
      </w:tr>
      <w:tr>
        <w:tc>
          <w:tcPr>
            <w:tcW w:type="dxa" w:w="3000"/>
            <w:tcMar>
              <w:top w:type="dxa" w:w="60"/>
              <w:left w:type="dxa" w:w="100"/>
              <w:bottom w:type="dxa" w:w="60"/>
              <w:right w:type="dxa" w:w="100"/>
            </w:tcMar>
          </w:tcPr>
          <w:p>
            <w:r>
              <w:rPr>
                <w:rFonts w:ascii="Arial" w:cs="Arial" w:eastAsia="Arial" w:hAnsi="Arial"/>
                <w:b w:val="false"/>
                <w:bCs w:val="false"/>
                <w:sz w:val="19"/>
                <w:szCs w:val="19"/>
              </w:rPr>
              <w:t xml:space="preserve">Exports needed (18%)</w:t>
            </w:r>
          </w:p>
        </w:tc>
        <w:tc>
          <w:tcPr>
            <w:tcW w:type="dxa" w:w="3226"/>
            <w:tcMar>
              <w:top w:type="dxa" w:w="60"/>
              <w:left w:type="dxa" w:w="100"/>
              <w:bottom w:type="dxa" w:w="60"/>
              <w:right w:type="dxa" w:w="100"/>
            </w:tcMar>
          </w:tcPr>
          <w:p>
            <w:r>
              <w:rPr>
                <w:rFonts w:ascii="Arial" w:cs="Arial" w:eastAsia="Arial" w:hAnsi="Arial"/>
                <w:b w:val="false"/>
                <w:bCs w:val="false"/>
                <w:sz w:val="19"/>
                <w:szCs w:val="19"/>
              </w:rPr>
              <w:t xml:space="preserve">300,000 − 146,700</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153,300 (≈ 25.6× 2025)</w:t>
            </w:r>
          </w:p>
        </w:tc>
      </w:tr>
    </w:tbl>
    <w:p>
      <w:pPr>
        <w:pStyle w:val="Heading2"/>
        <w:spacing w:after="100" w:before="220"/>
      </w:pPr>
      <w:r>
        <w:rPr>
          <w:rFonts w:ascii="Arial" w:cs="Arial" w:eastAsia="Arial" w:hAnsi="Arial"/>
          <w:b/>
          <w:bCs/>
          <w:color w:val="2E75B6"/>
          <w:sz w:val="25"/>
          <w:szCs w:val="25"/>
        </w:rPr>
        <w:t xml:space="preserve">Interpretation</w:t>
      </w:r>
    </w:p>
    <w:p>
      <w:pPr>
        <w:spacing w:after="120"/>
      </w:pPr>
      <w:r>
        <w:rPr>
          <w:rFonts w:ascii="Arial" w:cs="Arial" w:eastAsia="Arial" w:hAnsi="Arial"/>
          <w:sz w:val="21"/>
          <w:szCs w:val="21"/>
        </w:rPr>
        <w:t xml:space="preserve">Even with a strong domestic position the plant cannot break even on Malaysia alone. It needs exports roughly 16 times 2025 levels in the base case, and over 25 times if the price war cuts share to 18%. Each percentage point of domestic share is worth about 8,150 vehicles of export requirement. AHTV is therefore an export bet, and the key risks are export-market access (origin rules, connected-vehicle security rules in the UK, Australia and elsewhere) and price competition.</w:t>
      </w:r>
    </w:p>
    <w:p>
      <w:pPr>
        <w:pStyle w:val="Heading2"/>
        <w:spacing w:after="100" w:before="220"/>
      </w:pPr>
      <w:r>
        <w:rPr>
          <w:rFonts w:ascii="Arial" w:cs="Arial" w:eastAsia="Arial" w:hAnsi="Arial"/>
          <w:b/>
          <w:bCs/>
          <w:color w:val="2E75B6"/>
          <w:sz w:val="25"/>
          <w:szCs w:val="25"/>
        </w:rPr>
        <w:t xml:space="preserve">What students usually get wrong</w:t>
      </w:r>
    </w:p>
    <w:p>
      <w:pPr>
        <w:pStyle w:val="ListParagraph"/>
        <w:numPr>
          <w:ilvl w:val="0"/>
          <w:numId w:val="2"/>
        </w:numPr>
        <w:spacing w:after="60"/>
      </w:pPr>
      <w:r>
        <w:rPr>
          <w:rFonts w:ascii="Arial" w:cs="Arial" w:eastAsia="Arial" w:hAnsi="Arial"/>
          <w:sz w:val="21"/>
          <w:szCs w:val="21"/>
        </w:rPr>
        <w:t xml:space="preserve">Comparing break-even with capacity only, and not with reachable demand.</w:t>
      </w:r>
    </w:p>
    <w:p>
      <w:pPr>
        <w:pStyle w:val="ListParagraph"/>
        <w:numPr>
          <w:ilvl w:val="0"/>
          <w:numId w:val="2"/>
        </w:numPr>
        <w:spacing w:after="60"/>
      </w:pPr>
      <w:r>
        <w:rPr>
          <w:rFonts w:ascii="Arial" w:cs="Arial" w:eastAsia="Arial" w:hAnsi="Arial"/>
          <w:sz w:val="21"/>
          <w:szCs w:val="21"/>
        </w:rPr>
        <w:t xml:space="preserve">Assuming all Geely-group domestic volume runs through AHTV.</w:t>
      </w:r>
    </w:p>
    <w:p>
      <w:pPr>
        <w:pStyle w:val="ListParagraph"/>
        <w:numPr>
          <w:ilvl w:val="0"/>
          <w:numId w:val="2"/>
        </w:numPr>
        <w:spacing w:after="60"/>
      </w:pPr>
      <w:r>
        <w:rPr>
          <w:rFonts w:ascii="Arial" w:cs="Arial" w:eastAsia="Arial" w:hAnsi="Arial"/>
          <w:sz w:val="21"/>
          <w:szCs w:val="21"/>
        </w:rPr>
        <w:t xml:space="preserve">Ignoring that contribution margin itself falls in a price war — a double hit on break-even.</w:t>
      </w:r>
    </w:p>
    <w:p>
      <w:pPr>
        <w:pStyle w:val="Heading1"/>
        <w:spacing w:after="150" w:before="300"/>
      </w:pPr>
      <w:r>
        <w:rPr>
          <w:rFonts w:ascii="Arial" w:cs="Arial" w:eastAsia="Arial" w:hAnsi="Arial"/>
          <w:b/>
          <w:bCs/>
          <w:color w:val="1F4E78"/>
          <w:sz w:val="30"/>
          <w:szCs w:val="30"/>
        </w:rPr>
        <w:t xml:space="preserve">Model answers: discussion questions</w:t>
      </w:r>
    </w:p>
    <w:p>
      <w:pPr>
        <w:pStyle w:val="Heading2"/>
        <w:spacing w:after="100" w:before="220"/>
      </w:pPr>
      <w:r>
        <w:rPr>
          <w:rFonts w:ascii="Arial" w:cs="Arial" w:eastAsia="Arial" w:hAnsi="Arial"/>
          <w:b/>
          <w:bCs/>
          <w:color w:val="2E75B6"/>
          <w:sz w:val="25"/>
          <w:szCs w:val="25"/>
        </w:rPr>
        <w:t xml:space="preserve">Q1. Rank the pull factors for a battery cell maker, an EV OEM and a data-centre operator.</w:t>
      </w:r>
    </w:p>
    <w:p>
      <w:pPr>
        <w:pStyle w:val="ListParagraph"/>
        <w:numPr>
          <w:ilvl w:val="0"/>
          <w:numId w:val="2"/>
        </w:numPr>
        <w:spacing w:after="60"/>
      </w:pPr>
      <w:r>
        <w:rPr>
          <w:rFonts w:ascii="Arial" w:cs="Arial" w:eastAsia="Arial" w:hAnsi="Arial"/>
          <w:sz w:val="21"/>
          <w:szCs w:val="21"/>
        </w:rPr>
        <w:t xml:space="preserve">Battery cell maker: tariff/origin exposure and US/EU market access first; then skilled technicians, power cost and the supplier cluster; land and incentives last.</w:t>
      </w:r>
    </w:p>
    <w:p>
      <w:pPr>
        <w:pStyle w:val="ListParagraph"/>
        <w:numPr>
          <w:ilvl w:val="0"/>
          <w:numId w:val="2"/>
        </w:numPr>
        <w:spacing w:after="60"/>
      </w:pPr>
      <w:r>
        <w:rPr>
          <w:rFonts w:ascii="Arial" w:cs="Arial" w:eastAsia="Arial" w:hAnsi="Arial"/>
          <w:sz w:val="21"/>
          <w:szCs w:val="21"/>
        </w:rPr>
        <w:t xml:space="preserve">EV OEM: domestic and RHD export market access, incentive deadlines (CBU exemption), a local partner and dealer network, supplier base.</w:t>
      </w:r>
    </w:p>
    <w:p>
      <w:pPr>
        <w:pStyle w:val="ListParagraph"/>
        <w:numPr>
          <w:ilvl w:val="0"/>
          <w:numId w:val="2"/>
        </w:numPr>
        <w:spacing w:after="60"/>
      </w:pPr>
      <w:r>
        <w:rPr>
          <w:rFonts w:ascii="Arial" w:cs="Arial" w:eastAsia="Arial" w:hAnsi="Arial"/>
          <w:sz w:val="21"/>
          <w:szCs w:val="21"/>
        </w:rPr>
        <w:t xml:space="preserve">Data-centre operator: power availability and price, proximity to Singapore’s subsea cables and customers, land, water, regulatory speed, chip access. Labour cost hardly matters.</w:t>
      </w:r>
    </w:p>
    <w:p>
      <w:pPr>
        <w:pStyle w:val="ListParagraph"/>
        <w:numPr>
          <w:ilvl w:val="0"/>
          <w:numId w:val="2"/>
        </w:numPr>
        <w:spacing w:after="60"/>
      </w:pPr>
      <w:r>
        <w:rPr>
          <w:rFonts w:ascii="Arial" w:cs="Arial" w:eastAsia="Arial" w:hAnsi="Arial"/>
          <w:sz w:val="21"/>
          <w:szCs w:val="21"/>
        </w:rPr>
        <w:t xml:space="preserve">Strong answers note that the rankings differ because the products differ in what drives cost and risk — the same country can be right for different reasons.</w:t>
      </w:r>
    </w:p>
    <w:p>
      <w:pPr>
        <w:pStyle w:val="Heading2"/>
        <w:spacing w:after="100" w:before="220"/>
      </w:pPr>
      <w:r>
        <w:rPr>
          <w:rFonts w:ascii="Arial" w:cs="Arial" w:eastAsia="Arial" w:hAnsi="Arial"/>
          <w:b/>
          <w:bCs/>
          <w:color w:val="2E75B6"/>
          <w:sz w:val="25"/>
          <w:szCs w:val="25"/>
        </w:rPr>
        <w:t xml:space="preserve">Q2. Would Geely’s Proton playbook work for BYD? What does BYD gain and lose by going alone?</w:t>
      </w:r>
    </w:p>
    <w:p>
      <w:pPr>
        <w:pStyle w:val="ListParagraph"/>
        <w:numPr>
          <w:ilvl w:val="0"/>
          <w:numId w:val="2"/>
        </w:numPr>
        <w:spacing w:after="60"/>
      </w:pPr>
      <w:r>
        <w:rPr>
          <w:rFonts w:ascii="Arial" w:cs="Arial" w:eastAsia="Arial" w:hAnsi="Arial"/>
          <w:sz w:val="21"/>
          <w:szCs w:val="21"/>
        </w:rPr>
        <w:t xml:space="preserve">Gains: full control of brand, pricing, technology and margins; no partner conflict; faster decisions.</w:t>
      </w:r>
    </w:p>
    <w:p>
      <w:pPr>
        <w:pStyle w:val="ListParagraph"/>
        <w:numPr>
          <w:ilvl w:val="0"/>
          <w:numId w:val="2"/>
        </w:numPr>
        <w:spacing w:after="60"/>
      </w:pPr>
      <w:r>
        <w:rPr>
          <w:rFonts w:ascii="Arial" w:cs="Arial" w:eastAsia="Arial" w:hAnsi="Arial"/>
          <w:sz w:val="21"/>
          <w:szCs w:val="21"/>
        </w:rPr>
        <w:t xml:space="preserve">Losses: no inherited dealer network or national-brand legitimacy; bears the full greenfield and political risk; no local champion to handle government relations.</w:t>
      </w:r>
    </w:p>
    <w:p>
      <w:pPr>
        <w:pStyle w:val="ListParagraph"/>
        <w:numPr>
          <w:ilvl w:val="0"/>
          <w:numId w:val="2"/>
        </w:numPr>
        <w:spacing w:after="60"/>
      </w:pPr>
      <w:r>
        <w:rPr>
          <w:rFonts w:ascii="Arial" w:cs="Arial" w:eastAsia="Arial" w:hAnsi="Arial"/>
          <w:sz w:val="21"/>
          <w:szCs w:val="21"/>
        </w:rPr>
        <w:t xml:space="preserve">BYD can go alone because its brand and cost position are strong and Malaysia welcomes it; the Proton route was the right fit when Geely’s brand was weak in ASEAN and Malaysia needed to save a national company.</w:t>
      </w:r>
    </w:p>
    <w:p>
      <w:pPr>
        <w:pStyle w:val="Heading2"/>
        <w:spacing w:after="100" w:before="220"/>
      </w:pPr>
      <w:r>
        <w:rPr>
          <w:rFonts w:ascii="Arial" w:cs="Arial" w:eastAsia="Arial" w:hAnsi="Arial"/>
          <w:b/>
          <w:bCs/>
          <w:color w:val="2E75B6"/>
          <w:sz w:val="25"/>
          <w:szCs w:val="25"/>
        </w:rPr>
        <w:t xml:space="preserve">Q3. Why does Proton keep the Saga rather than replace the whole range with Geely platforms?</w:t>
      </w:r>
    </w:p>
    <w:p>
      <w:pPr>
        <w:pStyle w:val="ListParagraph"/>
        <w:numPr>
          <w:ilvl w:val="0"/>
          <w:numId w:val="2"/>
        </w:numPr>
        <w:spacing w:after="60"/>
      </w:pPr>
      <w:r>
        <w:rPr>
          <w:rFonts w:ascii="Arial" w:cs="Arial" w:eastAsia="Arial" w:hAnsi="Arial"/>
          <w:sz w:val="21"/>
          <w:szCs w:val="21"/>
        </w:rPr>
        <w:t xml:space="preserve">The Saga is a high-volume, low-cost entry model where in-house engineering is still competitive and margins are protected by low development cost.</w:t>
      </w:r>
    </w:p>
    <w:p>
      <w:pPr>
        <w:pStyle w:val="ListParagraph"/>
        <w:numPr>
          <w:ilvl w:val="0"/>
          <w:numId w:val="2"/>
        </w:numPr>
        <w:spacing w:after="60"/>
      </w:pPr>
      <w:r>
        <w:rPr>
          <w:rFonts w:ascii="Arial" w:cs="Arial" w:eastAsia="Arial" w:hAnsi="Arial"/>
          <w:sz w:val="21"/>
          <w:szCs w:val="21"/>
        </w:rPr>
        <w:t xml:space="preserve">It keeps plant utilisation high on an existing line and preserves the “people’s car” identity and political legitimacy.</w:t>
      </w:r>
    </w:p>
    <w:p>
      <w:pPr>
        <w:pStyle w:val="ListParagraph"/>
        <w:numPr>
          <w:ilvl w:val="0"/>
          <w:numId w:val="2"/>
        </w:numPr>
        <w:spacing w:after="60"/>
      </w:pPr>
      <w:r>
        <w:rPr>
          <w:rFonts w:ascii="Arial" w:cs="Arial" w:eastAsia="Arial" w:hAnsi="Arial"/>
          <w:sz w:val="21"/>
          <w:szCs w:val="21"/>
        </w:rPr>
        <w:t xml:space="preserve">Portfolio logic: use partner platforms where development cost is prohibitive (SUV, hybrid, EV), keep own products where they are good enough.</w:t>
      </w:r>
    </w:p>
    <w:p>
      <w:pPr>
        <w:pStyle w:val="Heading2"/>
        <w:spacing w:after="100" w:before="220"/>
      </w:pPr>
      <w:r>
        <w:rPr>
          <w:rFonts w:ascii="Arial" w:cs="Arial" w:eastAsia="Arial" w:hAnsi="Arial"/>
          <w:b/>
          <w:bCs/>
          <w:color w:val="2E75B6"/>
          <w:sz w:val="25"/>
          <w:szCs w:val="25"/>
        </w:rPr>
        <w:t xml:space="preserve">Q4. Which Geely lever is hardest to copy?</w:t>
      </w:r>
    </w:p>
    <w:p>
      <w:pPr>
        <w:pStyle w:val="ListParagraph"/>
        <w:numPr>
          <w:ilvl w:val="0"/>
          <w:numId w:val="2"/>
        </w:numPr>
        <w:spacing w:after="60"/>
      </w:pPr>
      <w:r>
        <w:rPr>
          <w:rFonts w:ascii="Arial" w:cs="Arial" w:eastAsia="Arial" w:hAnsi="Arial"/>
          <w:sz w:val="21"/>
          <w:szCs w:val="21"/>
        </w:rPr>
        <w:t xml:space="preserve">Purchasing scale and supplier development: co-sourcing with over 4 million Geely-group vehicles and embedding supplier-quality engineers cannot be bought quickly.</w:t>
      </w:r>
    </w:p>
    <w:p>
      <w:pPr>
        <w:pStyle w:val="ListParagraph"/>
        <w:numPr>
          <w:ilvl w:val="0"/>
          <w:numId w:val="2"/>
        </w:numPr>
        <w:spacing w:after="60"/>
      </w:pPr>
      <w:r>
        <w:rPr>
          <w:rFonts w:ascii="Arial" w:cs="Arial" w:eastAsia="Arial" w:hAnsi="Arial"/>
          <w:sz w:val="21"/>
          <w:szCs w:val="21"/>
        </w:rPr>
        <w:t xml:space="preserve">Platforms can be licensed and dealers refurbished, but the integrated system — platforms + purchasing + quality management — is hard to replicate.</w:t>
      </w:r>
    </w:p>
    <w:p>
      <w:pPr>
        <w:pStyle w:val="ListParagraph"/>
        <w:numPr>
          <w:ilvl w:val="0"/>
          <w:numId w:val="2"/>
        </w:numPr>
        <w:spacing w:after="60"/>
      </w:pPr>
      <w:r>
        <w:rPr>
          <w:rFonts w:ascii="Arial" w:cs="Arial" w:eastAsia="Arial" w:hAnsi="Arial"/>
          <w:sz w:val="21"/>
          <w:szCs w:val="21"/>
        </w:rPr>
        <w:t xml:space="preserve">Accept arguments for the governance structure (49.9/50.1), which few foreign OEMs can negotiate.</w:t>
      </w:r>
    </w:p>
    <w:p>
      <w:pPr>
        <w:pStyle w:val="Heading2"/>
        <w:spacing w:after="100" w:before="220"/>
      </w:pPr>
      <w:r>
        <w:rPr>
          <w:rFonts w:ascii="Arial" w:cs="Arial" w:eastAsia="Arial" w:hAnsi="Arial"/>
          <w:b/>
          <w:bCs/>
          <w:color w:val="2E75B6"/>
          <w:sz w:val="25"/>
          <w:szCs w:val="25"/>
        </w:rPr>
        <w:t xml:space="preserve">Q5. Due diligence on a Malaysian, Chinese-owned battery supplier.</w:t>
      </w:r>
    </w:p>
    <w:p>
      <w:pPr>
        <w:pStyle w:val="ListParagraph"/>
        <w:numPr>
          <w:ilvl w:val="0"/>
          <w:numId w:val="2"/>
        </w:numPr>
        <w:spacing w:after="60"/>
      </w:pPr>
      <w:r>
        <w:rPr>
          <w:rFonts w:ascii="Arial" w:cs="Arial" w:eastAsia="Arial" w:hAnsi="Arial"/>
          <w:sz w:val="21"/>
          <w:szCs w:val="21"/>
        </w:rPr>
        <w:t xml:space="preserve">Ownership and control (FEOC tests, beneficial owners), not just plant location.</w:t>
      </w:r>
    </w:p>
    <w:p>
      <w:pPr>
        <w:pStyle w:val="ListParagraph"/>
        <w:numPr>
          <w:ilvl w:val="0"/>
          <w:numId w:val="2"/>
        </w:numPr>
        <w:spacing w:after="60"/>
      </w:pPr>
      <w:r>
        <w:rPr>
          <w:rFonts w:ascii="Arial" w:cs="Arial" w:eastAsia="Arial" w:hAnsi="Arial"/>
          <w:sz w:val="21"/>
          <w:szCs w:val="21"/>
        </w:rPr>
        <w:t xml:space="preserve">Bill-of-materials origin to tier 2–3: cathode, anode, electrolyte, separator, cells.</w:t>
      </w:r>
    </w:p>
    <w:p>
      <w:pPr>
        <w:pStyle w:val="ListParagraph"/>
        <w:numPr>
          <w:ilvl w:val="0"/>
          <w:numId w:val="2"/>
        </w:numPr>
        <w:spacing w:after="60"/>
      </w:pPr>
      <w:r>
        <w:rPr>
          <w:rFonts w:ascii="Arial" w:cs="Arial" w:eastAsia="Arial" w:hAnsi="Arial"/>
          <w:sz w:val="21"/>
          <w:szCs w:val="21"/>
        </w:rPr>
        <w:t xml:space="preserve">Where substantial transformation occurs; documentation for rules-of-origin and customs audits.</w:t>
      </w:r>
    </w:p>
    <w:p>
      <w:pPr>
        <w:pStyle w:val="ListParagraph"/>
        <w:numPr>
          <w:ilvl w:val="0"/>
          <w:numId w:val="2"/>
        </w:numPr>
        <w:spacing w:after="60"/>
      </w:pPr>
      <w:r>
        <w:rPr>
          <w:rFonts w:ascii="Arial" w:cs="Arial" w:eastAsia="Arial" w:hAnsi="Arial"/>
          <w:sz w:val="21"/>
          <w:szCs w:val="21"/>
        </w:rPr>
        <w:t xml:space="preserve">Exposure to AD/CVD or transhipment cases; contract clauses for tariff change and termination; a qualified second source outside the same ownership group.</w:t>
      </w:r>
    </w:p>
    <w:p>
      <w:pPr>
        <w:pStyle w:val="ListParagraph"/>
        <w:numPr>
          <w:ilvl w:val="0"/>
          <w:numId w:val="2"/>
        </w:numPr>
        <w:spacing w:after="60"/>
      </w:pPr>
      <w:r>
        <w:rPr>
          <w:rFonts w:ascii="Arial" w:cs="Arial" w:eastAsia="Arial" w:hAnsi="Arial"/>
          <w:sz w:val="21"/>
          <w:szCs w:val="21"/>
        </w:rPr>
        <w:t xml:space="preserve">Standard items still apply: quality systems, capacity, financial health, ESG and forced-labour compliance.</w:t>
      </w:r>
    </w:p>
    <w:p>
      <w:pPr>
        <w:pStyle w:val="Heading2"/>
        <w:spacing w:after="100" w:before="220"/>
      </w:pPr>
      <w:r>
        <w:rPr>
          <w:rFonts w:ascii="Arial" w:cs="Arial" w:eastAsia="Arial" w:hAnsi="Arial"/>
          <w:b/>
          <w:bCs/>
          <w:color w:val="2E75B6"/>
          <w:sz w:val="25"/>
          <w:szCs w:val="25"/>
        </w:rPr>
        <w:t xml:space="preserve">Q6. Design an R&amp;D localisation clause for the 2017 deal.</w:t>
      </w:r>
    </w:p>
    <w:p>
      <w:pPr>
        <w:pStyle w:val="ListParagraph"/>
        <w:numPr>
          <w:ilvl w:val="0"/>
          <w:numId w:val="2"/>
        </w:numPr>
        <w:spacing w:after="60"/>
      </w:pPr>
      <w:r>
        <w:rPr>
          <w:rFonts w:ascii="Arial" w:cs="Arial" w:eastAsia="Arial" w:hAnsi="Arial"/>
          <w:sz w:val="21"/>
          <w:szCs w:val="21"/>
        </w:rPr>
        <w:t xml:space="preserve">Measurable commitments: a minimum local engineering headcount by year X; a regional R&amp;D centre with defined scope (e.g. RHD adaptation, tropical calibration, EV integration).</w:t>
      </w:r>
    </w:p>
    <w:p>
      <w:pPr>
        <w:pStyle w:val="ListParagraph"/>
        <w:numPr>
          <w:ilvl w:val="0"/>
          <w:numId w:val="2"/>
        </w:numPr>
        <w:spacing w:after="60"/>
      </w:pPr>
      <w:r>
        <w:rPr>
          <w:rFonts w:ascii="Arial" w:cs="Arial" w:eastAsia="Arial" w:hAnsi="Arial"/>
          <w:sz w:val="21"/>
          <w:szCs w:val="21"/>
        </w:rPr>
        <w:t xml:space="preserve">Shared IP rights or licensing terms for derivatives developed in Malaysia.</w:t>
      </w:r>
    </w:p>
    <w:p>
      <w:pPr>
        <w:pStyle w:val="ListParagraph"/>
        <w:numPr>
          <w:ilvl w:val="0"/>
          <w:numId w:val="2"/>
        </w:numPr>
        <w:spacing w:after="60"/>
      </w:pPr>
      <w:r>
        <w:rPr>
          <w:rFonts w:ascii="Arial" w:cs="Arial" w:eastAsia="Arial" w:hAnsi="Arial"/>
          <w:sz w:val="21"/>
          <w:szCs w:val="21"/>
        </w:rPr>
        <w:t xml:space="preserve">Supplier development targets: local-content ratio milestones and number of qualified local tier-1s.</w:t>
      </w:r>
    </w:p>
    <w:p>
      <w:pPr>
        <w:pStyle w:val="ListParagraph"/>
        <w:numPr>
          <w:ilvl w:val="0"/>
          <w:numId w:val="2"/>
        </w:numPr>
        <w:spacing w:after="60"/>
      </w:pPr>
      <w:r>
        <w:rPr>
          <w:rFonts w:ascii="Arial" w:cs="Arial" w:eastAsia="Arial" w:hAnsi="Arial"/>
          <w:sz w:val="21"/>
          <w:szCs w:val="21"/>
        </w:rPr>
        <w:t xml:space="preserve">Enforcement: link to incentives or government support, with review points. Discuss the trade-off: stricter clauses could have deterred Geely.</w:t>
      </w:r>
    </w:p>
    <w:p>
      <w:pPr>
        <w:pStyle w:val="Heading2"/>
        <w:spacing w:after="100" w:before="220"/>
      </w:pPr>
      <w:r>
        <w:rPr>
          <w:rFonts w:ascii="Arial" w:cs="Arial" w:eastAsia="Arial" w:hAnsi="Arial"/>
          <w:b/>
          <w:bCs/>
          <w:color w:val="2E75B6"/>
          <w:sz w:val="25"/>
          <w:szCs w:val="25"/>
        </w:rPr>
        <w:t xml:space="preserve">Q7. How should a DC operator change its site-selection model after the Johor water pause?</w:t>
      </w:r>
    </w:p>
    <w:p>
      <w:pPr>
        <w:pStyle w:val="ListParagraph"/>
        <w:numPr>
          <w:ilvl w:val="0"/>
          <w:numId w:val="2"/>
        </w:numPr>
        <w:spacing w:after="60"/>
      </w:pPr>
      <w:r>
        <w:rPr>
          <w:rFonts w:ascii="Arial" w:cs="Arial" w:eastAsia="Arial" w:hAnsi="Arial"/>
          <w:sz w:val="21"/>
          <w:szCs w:val="21"/>
        </w:rPr>
        <w:t xml:space="preserve">Treat power and water as constrained, priced resources with scenarios, not as fixed low-cost inputs.</w:t>
      </w:r>
    </w:p>
    <w:p>
      <w:pPr>
        <w:pStyle w:val="ListParagraph"/>
        <w:numPr>
          <w:ilvl w:val="0"/>
          <w:numId w:val="2"/>
        </w:numPr>
        <w:spacing w:after="60"/>
      </w:pPr>
      <w:r>
        <w:rPr>
          <w:rFonts w:ascii="Arial" w:cs="Arial" w:eastAsia="Arial" w:hAnsi="Arial"/>
          <w:sz w:val="21"/>
          <w:szCs w:val="21"/>
        </w:rPr>
        <w:t xml:space="preserve">Prefer closed-loop or air cooling, recycled water, on-site or contracted renewable PPAs.</w:t>
      </w:r>
    </w:p>
    <w:p>
      <w:pPr>
        <w:pStyle w:val="ListParagraph"/>
        <w:numPr>
          <w:ilvl w:val="0"/>
          <w:numId w:val="2"/>
        </w:numPr>
        <w:spacing w:after="60"/>
      </w:pPr>
      <w:r>
        <w:rPr>
          <w:rFonts w:ascii="Arial" w:cs="Arial" w:eastAsia="Arial" w:hAnsi="Arial"/>
          <w:sz w:val="21"/>
          <w:szCs w:val="21"/>
        </w:rPr>
        <w:t xml:space="preserve">Add regulatory-risk factors (approval moratoria, tariff reform) and diversify across sites (Johor, Negeri Sembilan, Kedah, other countries).</w:t>
      </w:r>
    </w:p>
    <w:p>
      <w:pPr>
        <w:pStyle w:val="ListParagraph"/>
        <w:numPr>
          <w:ilvl w:val="0"/>
          <w:numId w:val="2"/>
        </w:numPr>
        <w:spacing w:after="60"/>
      </w:pPr>
      <w:r>
        <w:rPr>
          <w:rFonts w:ascii="Arial" w:cs="Arial" w:eastAsia="Arial" w:hAnsi="Arial"/>
          <w:sz w:val="21"/>
          <w:szCs w:val="21"/>
        </w:rPr>
        <w:t xml:space="preserve">Phase capacity to match confirmed grid connections.</w:t>
      </w:r>
    </w:p>
    <w:p>
      <w:pPr>
        <w:pStyle w:val="Heading2"/>
        <w:spacing w:after="100" w:before="220"/>
      </w:pPr>
      <w:r>
        <w:rPr>
          <w:rFonts w:ascii="Arial" w:cs="Arial" w:eastAsia="Arial" w:hAnsi="Arial"/>
          <w:b/>
          <w:bCs/>
          <w:color w:val="2E75B6"/>
          <w:sz w:val="25"/>
          <w:szCs w:val="25"/>
        </w:rPr>
        <w:t xml:space="preserve">Q8. Is China+1 a stable equilibrium or temporary arbitrage?</w:t>
      </w:r>
    </w:p>
    <w:p>
      <w:pPr>
        <w:pStyle w:val="ListParagraph"/>
        <w:numPr>
          <w:ilvl w:val="0"/>
          <w:numId w:val="2"/>
        </w:numPr>
        <w:spacing w:after="60"/>
      </w:pPr>
      <w:r>
        <w:rPr>
          <w:rFonts w:ascii="Arial" w:cs="Arial" w:eastAsia="Arial" w:hAnsi="Arial"/>
          <w:sz w:val="21"/>
          <w:szCs w:val="21"/>
        </w:rPr>
        <w:t xml:space="preserve">Arbitrage view: assembly-only moves get closed by trade remedies (solar precedent, 3–5 years); ownership-based rules make location less relevant.</w:t>
      </w:r>
    </w:p>
    <w:p>
      <w:pPr>
        <w:pStyle w:val="ListParagraph"/>
        <w:numPr>
          <w:ilvl w:val="0"/>
          <w:numId w:val="2"/>
        </w:numPr>
        <w:spacing w:after="60"/>
      </w:pPr>
      <w:r>
        <w:rPr>
          <w:rFonts w:ascii="Arial" w:cs="Arial" w:eastAsia="Arial" w:hAnsi="Arial"/>
          <w:sz w:val="21"/>
          <w:szCs w:val="21"/>
        </w:rPr>
        <w:t xml:space="preserve">Stable view: where real value-add, local suppliers and talent develop (Penang electronics, Proton), the shift becomes a lasting ecosystem.</w:t>
      </w:r>
    </w:p>
    <w:p>
      <w:pPr>
        <w:pStyle w:val="ListParagraph"/>
        <w:numPr>
          <w:ilvl w:val="0"/>
          <w:numId w:val="2"/>
        </w:numPr>
        <w:spacing w:after="60"/>
      </w:pPr>
      <w:r>
        <w:rPr>
          <w:rFonts w:ascii="Arial" w:cs="Arial" w:eastAsia="Arial" w:hAnsi="Arial"/>
          <w:sz w:val="21"/>
          <w:szCs w:val="21"/>
        </w:rPr>
        <w:t xml:space="preserve">Best answers conclude it is stable only to the extent that the relocated activity becomes genuinely local in value-add and governance.</w:t>
      </w:r>
    </w:p>
    <w:p>
      <w:pPr>
        <w:pStyle w:val="Heading1"/>
        <w:spacing w:after="150" w:before="300"/>
      </w:pPr>
      <w:r>
        <w:rPr>
          <w:rFonts w:ascii="Arial" w:cs="Arial" w:eastAsia="Arial" w:hAnsi="Arial"/>
          <w:b/>
          <w:bCs/>
          <w:color w:val="1F4E78"/>
          <w:sz w:val="30"/>
          <w:szCs w:val="30"/>
        </w:rPr>
        <w:t xml:space="preserve">Debate: “Proton in 2026 is a Malaysian badge on a Chinese 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For the motion</w:t>
            </w:r>
          </w:p>
        </w:tc>
        <w:tc>
          <w:tcPr>
            <w:tcW w:type="dxa" w:w="4513"/>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Against the motion</w:t>
            </w:r>
          </w:p>
        </w:tc>
      </w:tr>
      <w:tr>
        <w:tc>
          <w:tcPr>
            <w:tcW w:type="dxa" w:w="4513"/>
            <w:tcMar>
              <w:top w:type="dxa" w:w="60"/>
              <w:left w:type="dxa" w:w="100"/>
              <w:bottom w:type="dxa" w:w="60"/>
              <w:right w:type="dxa" w:w="100"/>
            </w:tcMar>
          </w:tcPr>
          <w:p>
            <w:r>
              <w:rPr>
                <w:rFonts w:ascii="Arial" w:cs="Arial" w:eastAsia="Arial" w:hAnsi="Arial"/>
                <w:b w:val="false"/>
                <w:bCs w:val="false"/>
                <w:sz w:val="19"/>
                <w:szCs w:val="19"/>
              </w:rPr>
              <w:t xml:space="preserve">Almost every competitive model (X50, X70, X90, S70, e.MAS) is a Geely platform.</w:t>
            </w:r>
          </w:p>
        </w:tc>
        <w:tc>
          <w:tcPr>
            <w:tcW w:type="dxa" w:w="4513"/>
            <w:tcMar>
              <w:top w:type="dxa" w:w="60"/>
              <w:left w:type="dxa" w:w="100"/>
              <w:bottom w:type="dxa" w:w="60"/>
              <w:right w:type="dxa" w:w="100"/>
            </w:tcMar>
          </w:tcPr>
          <w:p>
            <w:r>
              <w:rPr>
                <w:rFonts w:ascii="Arial" w:cs="Arial" w:eastAsia="Arial" w:hAnsi="Arial"/>
                <w:b w:val="false"/>
                <w:bCs w:val="false"/>
                <w:sz w:val="19"/>
                <w:szCs w:val="19"/>
              </w:rPr>
              <w:t xml:space="preserve">DRB-HICOM holds 50.1%; strategy, the brand and government relations are Malaysian.</w:t>
            </w:r>
          </w:p>
        </w:tc>
      </w:tr>
      <w:tr>
        <w:tc>
          <w:tcPr>
            <w:tcW w:type="dxa" w:w="4513"/>
            <w:tcMar>
              <w:top w:type="dxa" w:w="60"/>
              <w:left w:type="dxa" w:w="100"/>
              <w:bottom w:type="dxa" w:w="60"/>
              <w:right w:type="dxa" w:w="100"/>
            </w:tcMar>
          </w:tcPr>
          <w:p>
            <w:r>
              <w:rPr>
                <w:rFonts w:ascii="Arial" w:cs="Arial" w:eastAsia="Arial" w:hAnsi="Arial"/>
                <w:b w:val="false"/>
                <w:bCs w:val="false"/>
                <w:sz w:val="19"/>
                <w:szCs w:val="19"/>
              </w:rPr>
              <w:t xml:space="preserve">EV batteries, motors and power electronics are still largely imported from China.</w:t>
            </w:r>
          </w:p>
        </w:tc>
        <w:tc>
          <w:tcPr>
            <w:tcW w:type="dxa" w:w="4513"/>
            <w:tcMar>
              <w:top w:type="dxa" w:w="60"/>
              <w:left w:type="dxa" w:w="100"/>
              <w:bottom w:type="dxa" w:w="60"/>
              <w:right w:type="dxa" w:w="100"/>
            </w:tcMar>
          </w:tcPr>
          <w:p>
            <w:r>
              <w:rPr>
                <w:rFonts w:ascii="Arial" w:cs="Arial" w:eastAsia="Arial" w:hAnsi="Arial"/>
                <w:b w:val="false"/>
                <w:bCs w:val="false"/>
                <w:sz w:val="19"/>
                <w:szCs w:val="19"/>
              </w:rPr>
              <w:t xml:space="preserve">The Saga, Persona and Iriz are still in-house products and among the top sellers.</w:t>
            </w:r>
          </w:p>
        </w:tc>
      </w:tr>
      <w:tr>
        <w:tc>
          <w:tcPr>
            <w:tcW w:type="dxa" w:w="4513"/>
            <w:tcMar>
              <w:top w:type="dxa" w:w="60"/>
              <w:left w:type="dxa" w:w="100"/>
              <w:bottom w:type="dxa" w:w="60"/>
              <w:right w:type="dxa" w:w="100"/>
            </w:tcMar>
          </w:tcPr>
          <w:p>
            <w:r>
              <w:rPr>
                <w:rFonts w:ascii="Arial" w:cs="Arial" w:eastAsia="Arial" w:hAnsi="Arial"/>
                <w:b w:val="false"/>
                <w:bCs w:val="false"/>
                <w:sz w:val="19"/>
                <w:szCs w:val="19"/>
              </w:rPr>
              <w:t xml:space="preserve">Proton’s own R&amp;D capability has narrowed; it would struggle without Geely.</w:t>
            </w:r>
          </w:p>
        </w:tc>
        <w:tc>
          <w:tcPr>
            <w:tcW w:type="dxa" w:w="4513"/>
            <w:tcMar>
              <w:top w:type="dxa" w:w="60"/>
              <w:left w:type="dxa" w:w="100"/>
              <w:bottom w:type="dxa" w:w="60"/>
              <w:right w:type="dxa" w:w="100"/>
            </w:tcMar>
          </w:tcPr>
          <w:p>
            <w:r>
              <w:rPr>
                <w:rFonts w:ascii="Arial" w:cs="Arial" w:eastAsia="Arial" w:hAnsi="Arial"/>
                <w:b w:val="false"/>
                <w:bCs w:val="false"/>
                <w:sz w:val="19"/>
                <w:szCs w:val="19"/>
              </w:rPr>
              <w:t xml:space="preserve">Tanjung Malim builds the cars with Malaysian workers and a growing local supplier base; the engine plant now makes hybrid/EV components.</w:t>
            </w:r>
          </w:p>
        </w:tc>
      </w:tr>
      <w:tr>
        <w:tc>
          <w:tcPr>
            <w:tcW w:type="dxa" w:w="4513"/>
            <w:tcMar>
              <w:top w:type="dxa" w:w="60"/>
              <w:left w:type="dxa" w:w="100"/>
              <w:bottom w:type="dxa" w:w="60"/>
              <w:right w:type="dxa" w:w="100"/>
            </w:tcMar>
          </w:tcPr>
          <w:p>
            <w:r>
              <w:rPr>
                <w:rFonts w:ascii="Arial" w:cs="Arial" w:eastAsia="Arial" w:hAnsi="Arial"/>
                <w:b w:val="false"/>
                <w:bCs w:val="false"/>
                <w:sz w:val="19"/>
                <w:szCs w:val="19"/>
              </w:rPr>
              <w:t xml:space="preserve">Geely sells its own brands (Zeekr, Geely Galaxy) in Malaysia alongside Proton.</w:t>
            </w:r>
          </w:p>
        </w:tc>
        <w:tc>
          <w:tcPr>
            <w:tcW w:type="dxa" w:w="4513"/>
            <w:tcMar>
              <w:top w:type="dxa" w:w="60"/>
              <w:left w:type="dxa" w:w="100"/>
              <w:bottom w:type="dxa" w:w="60"/>
              <w:right w:type="dxa" w:w="100"/>
            </w:tcMar>
          </w:tcPr>
          <w:p>
            <w:r>
              <w:rPr>
                <w:rFonts w:ascii="Arial" w:cs="Arial" w:eastAsia="Arial" w:hAnsi="Arial"/>
                <w:b w:val="false"/>
                <w:bCs w:val="false"/>
                <w:sz w:val="19"/>
                <w:szCs w:val="19"/>
              </w:rPr>
              <w:t xml:space="preserve">Local adaptation (RHD, tropical tuning, Malay voice control) is real engineering work.</w:t>
            </w:r>
          </w:p>
        </w:tc>
      </w:tr>
      <w:tr>
        <w:tc>
          <w:tcPr>
            <w:tcW w:type="dxa" w:w="4513"/>
            <w:tcMar>
              <w:top w:type="dxa" w:w="60"/>
              <w:left w:type="dxa" w:w="100"/>
              <w:bottom w:type="dxa" w:w="60"/>
              <w:right w:type="dxa" w:w="100"/>
            </w:tcMar>
          </w:tcPr>
          <w:p>
            <w:r>
              <w:rPr>
                <w:rFonts w:ascii="Arial" w:cs="Arial" w:eastAsia="Arial" w:hAnsi="Arial"/>
                <w:b w:val="false"/>
                <w:bCs w:val="false"/>
                <w:sz w:val="19"/>
                <w:szCs w:val="19"/>
              </w:rPr>
              <w:t xml:space="preserve">The export hub serves Geely’s global RHD strategy as much as Malaysia’s.</w:t>
            </w:r>
          </w:p>
        </w:tc>
        <w:tc>
          <w:tcPr>
            <w:tcW w:type="dxa" w:w="4513"/>
            <w:tcMar>
              <w:top w:type="dxa" w:w="60"/>
              <w:left w:type="dxa" w:w="100"/>
              <w:bottom w:type="dxa" w:w="60"/>
              <w:right w:type="dxa" w:w="100"/>
            </w:tcMar>
          </w:tcPr>
          <w:p>
            <w:r>
              <w:rPr>
                <w:rFonts w:ascii="Arial" w:cs="Arial" w:eastAsia="Arial" w:hAnsi="Arial"/>
                <w:b w:val="false"/>
                <w:bCs w:val="false"/>
                <w:sz w:val="19"/>
                <w:szCs w:val="19"/>
              </w:rPr>
              <w:t xml:space="preserve">Platform sharing is normal in the industry (Volvo–Geely, Toyota–Daihatsu); what matters is who captures the value.</w:t>
            </w:r>
          </w:p>
        </w:tc>
      </w:tr>
    </w:tbl>
    <w:p>
      <w:pPr>
        <w:spacing w:after="60"/>
      </w:pPr>
    </w:p>
    <w:p>
      <w:pPr>
        <w:spacing w:after="120"/>
      </w:pPr>
      <w:r>
        <w:rPr>
          <w:rFonts w:ascii="Arial" w:cs="Arial" w:eastAsia="Arial" w:hAnsi="Arial"/>
          <w:b/>
          <w:bCs/>
          <w:sz w:val="21"/>
          <w:szCs w:val="21"/>
        </w:rPr>
        <w:t xml:space="preserve">Steer the wrap-up toward: </w:t>
      </w:r>
      <w:r>
        <w:rPr>
          <w:rFonts w:ascii="Arial" w:cs="Arial" w:eastAsia="Arial" w:hAnsi="Arial"/>
          <w:sz w:val="21"/>
          <w:szCs w:val="21"/>
        </w:rPr>
        <w:t xml:space="preserve">the badge question is less useful than asking which value-chain activities are local (assembly, suppliers, engineering, IP) and how that share should grow.</w:t>
      </w:r>
    </w:p>
    <w:p>
      <w:pPr>
        <w:pStyle w:val="Heading1"/>
        <w:pageBreakBefore/>
        <w:spacing w:after="150"/>
      </w:pPr>
      <w:r>
        <w:rPr>
          <w:rFonts w:ascii="Arial" w:cs="Arial" w:eastAsia="Arial" w:hAnsi="Arial"/>
          <w:b/>
          <w:bCs/>
          <w:color w:val="1F4E78"/>
          <w:sz w:val="30"/>
          <w:szCs w:val="30"/>
        </w:rPr>
        <w:t xml:space="preserve">Suggested grading rubric</w:t>
      </w:r>
    </w:p>
    <w:p>
      <w:pPr>
        <w:pStyle w:val="Heading2"/>
        <w:spacing w:after="100" w:before="220"/>
      </w:pPr>
      <w:r>
        <w:rPr>
          <w:rFonts w:ascii="Arial" w:cs="Arial" w:eastAsia="Arial" w:hAnsi="Arial"/>
          <w:b/>
          <w:bCs/>
          <w:color w:val="2E75B6"/>
          <w:sz w:val="25"/>
          <w:szCs w:val="25"/>
        </w:rPr>
        <w:t xml:space="preserve">Quantitative exercises (per exercise, 10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326"/>
      </w:tblGrid>
      <w:tr>
        <w:trPr>
          <w:tblHeader/>
        </w:trPr>
        <w:tc>
          <w:tcPr>
            <w:tcW w:type="dxa" w:w="26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Criterion</w:t>
            </w:r>
          </w:p>
        </w:tc>
        <w:tc>
          <w:tcPr>
            <w:tcW w:type="dxa" w:w="11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5326"/>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Full marks when…</w:t>
            </w:r>
          </w:p>
        </w:tc>
      </w:tr>
      <w:tr>
        <w:tc>
          <w:tcPr>
            <w:tcW w:type="dxa" w:w="2600"/>
            <w:tcMar>
              <w:top w:type="dxa" w:w="60"/>
              <w:left w:type="dxa" w:w="100"/>
              <w:bottom w:type="dxa" w:w="60"/>
              <w:right w:type="dxa" w:w="100"/>
            </w:tcMar>
          </w:tcPr>
          <w:p>
            <w:r>
              <w:rPr>
                <w:rFonts w:ascii="Arial" w:cs="Arial" w:eastAsia="Arial" w:hAnsi="Arial"/>
                <w:b w:val="false"/>
                <w:bCs w:val="false"/>
                <w:sz w:val="19"/>
                <w:szCs w:val="19"/>
              </w:rPr>
              <w:t xml:space="preserve">Correct set-up</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5326"/>
            <w:tcMar>
              <w:top w:type="dxa" w:w="60"/>
              <w:left w:type="dxa" w:w="100"/>
              <w:bottom w:type="dxa" w:w="60"/>
              <w:right w:type="dxa" w:w="100"/>
            </w:tcMar>
          </w:tcPr>
          <w:p>
            <w:r>
              <w:rPr>
                <w:rFonts w:ascii="Arial" w:cs="Arial" w:eastAsia="Arial" w:hAnsi="Arial"/>
                <w:b w:val="false"/>
                <w:bCs w:val="false"/>
                <w:sz w:val="19"/>
                <w:szCs w:val="19"/>
              </w:rPr>
              <w:t xml:space="preserve">Formula and assumptions stated clearly (e.g. dutiable value, learning exponent).</w:t>
            </w:r>
          </w:p>
        </w:tc>
      </w:tr>
      <w:tr>
        <w:tc>
          <w:tcPr>
            <w:tcW w:type="dxa" w:w="2600"/>
            <w:tcMar>
              <w:top w:type="dxa" w:w="60"/>
              <w:left w:type="dxa" w:w="100"/>
              <w:bottom w:type="dxa" w:w="60"/>
              <w:right w:type="dxa" w:w="100"/>
            </w:tcMar>
          </w:tcPr>
          <w:p>
            <w:r>
              <w:rPr>
                <w:rFonts w:ascii="Arial" w:cs="Arial" w:eastAsia="Arial" w:hAnsi="Arial"/>
                <w:b w:val="false"/>
                <w:bCs w:val="false"/>
                <w:sz w:val="19"/>
                <w:szCs w:val="19"/>
              </w:rPr>
              <w:t xml:space="preserve">Correct calculation</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5326"/>
            <w:tcMar>
              <w:top w:type="dxa" w:w="60"/>
              <w:left w:type="dxa" w:w="100"/>
              <w:bottom w:type="dxa" w:w="60"/>
              <w:right w:type="dxa" w:w="100"/>
            </w:tcMar>
          </w:tcPr>
          <w:p>
            <w:r>
              <w:rPr>
                <w:rFonts w:ascii="Arial" w:cs="Arial" w:eastAsia="Arial" w:hAnsi="Arial"/>
                <w:b w:val="false"/>
                <w:bCs w:val="false"/>
                <w:sz w:val="19"/>
                <w:szCs w:val="19"/>
              </w:rPr>
              <w:t xml:space="preserve">Results within rounding of the key.</w:t>
            </w:r>
          </w:p>
        </w:tc>
      </w:tr>
      <w:tr>
        <w:tc>
          <w:tcPr>
            <w:tcW w:type="dxa" w:w="2600"/>
            <w:tcMar>
              <w:top w:type="dxa" w:w="60"/>
              <w:left w:type="dxa" w:w="100"/>
              <w:bottom w:type="dxa" w:w="60"/>
              <w:right w:type="dxa" w:w="100"/>
            </w:tcMar>
          </w:tcPr>
          <w:p>
            <w:r>
              <w:rPr>
                <w:rFonts w:ascii="Arial" w:cs="Arial" w:eastAsia="Arial" w:hAnsi="Arial"/>
                <w:b w:val="false"/>
                <w:bCs w:val="false"/>
                <w:sz w:val="19"/>
                <w:szCs w:val="19"/>
              </w:rPr>
              <w:t xml:space="preserve">Sensitivity / scenario</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5326"/>
            <w:tcMar>
              <w:top w:type="dxa" w:w="60"/>
              <w:left w:type="dxa" w:w="100"/>
              <w:bottom w:type="dxa" w:w="60"/>
              <w:right w:type="dxa" w:w="100"/>
            </w:tcMar>
          </w:tcPr>
          <w:p>
            <w:r>
              <w:rPr>
                <w:rFonts w:ascii="Arial" w:cs="Arial" w:eastAsia="Arial" w:hAnsi="Arial"/>
                <w:b w:val="false"/>
                <w:bCs w:val="false"/>
                <w:sz w:val="19"/>
                <w:szCs w:val="19"/>
              </w:rPr>
              <w:t xml:space="preserve">At least one meaningful sensitivity, explained.</w:t>
            </w:r>
          </w:p>
        </w:tc>
      </w:tr>
      <w:tr>
        <w:tc>
          <w:tcPr>
            <w:tcW w:type="dxa" w:w="2600"/>
            <w:tcMar>
              <w:top w:type="dxa" w:w="60"/>
              <w:left w:type="dxa" w:w="100"/>
              <w:bottom w:type="dxa" w:w="60"/>
              <w:right w:type="dxa" w:w="100"/>
            </w:tcMar>
          </w:tcPr>
          <w:p>
            <w:r>
              <w:rPr>
                <w:rFonts w:ascii="Arial" w:cs="Arial" w:eastAsia="Arial" w:hAnsi="Arial"/>
                <w:b w:val="false"/>
                <w:bCs w:val="false"/>
                <w:sz w:val="19"/>
                <w:szCs w:val="19"/>
              </w:rPr>
              <w:t xml:space="preserve">Interpretation</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5326"/>
            <w:tcMar>
              <w:top w:type="dxa" w:w="60"/>
              <w:left w:type="dxa" w:w="100"/>
              <w:bottom w:type="dxa" w:w="60"/>
              <w:right w:type="dxa" w:w="100"/>
            </w:tcMar>
          </w:tcPr>
          <w:p>
            <w:r>
              <w:rPr>
                <w:rFonts w:ascii="Arial" w:cs="Arial" w:eastAsia="Arial" w:hAnsi="Arial"/>
                <w:b w:val="false"/>
                <w:bCs w:val="false"/>
                <w:sz w:val="19"/>
                <w:szCs w:val="19"/>
              </w:rPr>
              <w:t xml:space="preserve">Links the numbers to a managerial decision and names limits of the model.</w:t>
            </w:r>
          </w:p>
        </w:tc>
      </w:tr>
    </w:tbl>
    <w:p>
      <w:pPr>
        <w:pStyle w:val="Heading2"/>
        <w:spacing w:after="100" w:before="220"/>
      </w:pPr>
      <w:r>
        <w:rPr>
          <w:rFonts w:ascii="Arial" w:cs="Arial" w:eastAsia="Arial" w:hAnsi="Arial"/>
          <w:b/>
          <w:bCs/>
          <w:color w:val="2E75B6"/>
          <w:sz w:val="25"/>
          <w:szCs w:val="25"/>
        </w:rPr>
        <w:t xml:space="preserve">Case discussion or written analysis (20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326"/>
      </w:tblGrid>
      <w:tr>
        <w:trPr>
          <w:tblHeader/>
        </w:trPr>
        <w:tc>
          <w:tcPr>
            <w:tcW w:type="dxa" w:w="26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Criterion</w:t>
            </w:r>
          </w:p>
        </w:tc>
        <w:tc>
          <w:tcPr>
            <w:tcW w:type="dxa" w:w="11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c>
          <w:tcPr>
            <w:tcW w:type="dxa" w:w="5326"/>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Excellent (top band)</w:t>
            </w:r>
          </w:p>
        </w:tc>
      </w:tr>
      <w:tr>
        <w:tc>
          <w:tcPr>
            <w:tcW w:type="dxa" w:w="2600"/>
            <w:tcMar>
              <w:top w:type="dxa" w:w="60"/>
              <w:left w:type="dxa" w:w="100"/>
              <w:bottom w:type="dxa" w:w="60"/>
              <w:right w:type="dxa" w:w="100"/>
            </w:tcMar>
          </w:tcPr>
          <w:p>
            <w:r>
              <w:rPr>
                <w:rFonts w:ascii="Arial" w:cs="Arial" w:eastAsia="Arial" w:hAnsi="Arial"/>
                <w:b w:val="false"/>
                <w:bCs w:val="false"/>
                <w:sz w:val="19"/>
                <w:szCs w:val="19"/>
              </w:rPr>
              <w:t xml:space="preserve">Use of OM frameworks</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5326"/>
            <w:tcMar>
              <w:top w:type="dxa" w:w="60"/>
              <w:left w:type="dxa" w:w="100"/>
              <w:bottom w:type="dxa" w:w="60"/>
              <w:right w:type="dxa" w:w="100"/>
            </w:tcMar>
          </w:tcPr>
          <w:p>
            <w:r>
              <w:rPr>
                <w:rFonts w:ascii="Arial" w:cs="Arial" w:eastAsia="Arial" w:hAnsi="Arial"/>
                <w:b w:val="false"/>
                <w:bCs w:val="false"/>
                <w:sz w:val="19"/>
                <w:szCs w:val="19"/>
              </w:rPr>
              <w:t xml:space="preserve">Applies location, landed cost, make-vs-buy, learning curve or capacity concepts correctly.</w:t>
            </w:r>
          </w:p>
        </w:tc>
      </w:tr>
      <w:tr>
        <w:tc>
          <w:tcPr>
            <w:tcW w:type="dxa" w:w="2600"/>
            <w:tcMar>
              <w:top w:type="dxa" w:w="60"/>
              <w:left w:type="dxa" w:w="100"/>
              <w:bottom w:type="dxa" w:w="60"/>
              <w:right w:type="dxa" w:w="100"/>
            </w:tcMar>
          </w:tcPr>
          <w:p>
            <w:r>
              <w:rPr>
                <w:rFonts w:ascii="Arial" w:cs="Arial" w:eastAsia="Arial" w:hAnsi="Arial"/>
                <w:b w:val="false"/>
                <w:bCs w:val="false"/>
                <w:sz w:val="19"/>
                <w:szCs w:val="19"/>
              </w:rPr>
              <w:t xml:space="preserve">Evidence</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5326"/>
            <w:tcMar>
              <w:top w:type="dxa" w:w="60"/>
              <w:left w:type="dxa" w:w="100"/>
              <w:bottom w:type="dxa" w:w="60"/>
              <w:right w:type="dxa" w:w="100"/>
            </w:tcMar>
          </w:tcPr>
          <w:p>
            <w:r>
              <w:rPr>
                <w:rFonts w:ascii="Arial" w:cs="Arial" w:eastAsia="Arial" w:hAnsi="Arial"/>
                <w:b w:val="false"/>
                <w:bCs w:val="false"/>
                <w:sz w:val="19"/>
                <w:szCs w:val="19"/>
              </w:rPr>
              <w:t xml:space="preserve">Uses case facts and data accurately; distinguishes facts from assumptions.</w:t>
            </w:r>
          </w:p>
        </w:tc>
      </w:tr>
      <w:tr>
        <w:tc>
          <w:tcPr>
            <w:tcW w:type="dxa" w:w="2600"/>
            <w:tcMar>
              <w:top w:type="dxa" w:w="60"/>
              <w:left w:type="dxa" w:w="100"/>
              <w:bottom w:type="dxa" w:w="60"/>
              <w:right w:type="dxa" w:w="100"/>
            </w:tcMar>
          </w:tcPr>
          <w:p>
            <w:r>
              <w:rPr>
                <w:rFonts w:ascii="Arial" w:cs="Arial" w:eastAsia="Arial" w:hAnsi="Arial"/>
                <w:b w:val="false"/>
                <w:bCs w:val="false"/>
                <w:sz w:val="19"/>
                <w:szCs w:val="19"/>
              </w:rPr>
              <w:t xml:space="preserve">Analysis of trade-offs</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5326"/>
            <w:tcMar>
              <w:top w:type="dxa" w:w="60"/>
              <w:left w:type="dxa" w:w="100"/>
              <w:bottom w:type="dxa" w:w="60"/>
              <w:right w:type="dxa" w:w="100"/>
            </w:tcMar>
          </w:tcPr>
          <w:p>
            <w:r>
              <w:rPr>
                <w:rFonts w:ascii="Arial" w:cs="Arial" w:eastAsia="Arial" w:hAnsi="Arial"/>
                <w:b w:val="false"/>
                <w:bCs w:val="false"/>
                <w:sz w:val="19"/>
                <w:szCs w:val="19"/>
              </w:rPr>
              <w:t xml:space="preserve">Weighs costs, risks and alternatives; considers multiple stakeholders.</w:t>
            </w:r>
          </w:p>
        </w:tc>
      </w:tr>
      <w:tr>
        <w:tc>
          <w:tcPr>
            <w:tcW w:type="dxa" w:w="2600"/>
            <w:tcMar>
              <w:top w:type="dxa" w:w="60"/>
              <w:left w:type="dxa" w:w="100"/>
              <w:bottom w:type="dxa" w:w="60"/>
              <w:right w:type="dxa" w:w="100"/>
            </w:tcMar>
          </w:tcPr>
          <w:p>
            <w:r>
              <w:rPr>
                <w:rFonts w:ascii="Arial" w:cs="Arial" w:eastAsia="Arial" w:hAnsi="Arial"/>
                <w:b w:val="false"/>
                <w:bCs w:val="false"/>
                <w:sz w:val="19"/>
                <w:szCs w:val="19"/>
              </w:rPr>
              <w:t xml:space="preserve">Recommendation</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5326"/>
            <w:tcMar>
              <w:top w:type="dxa" w:w="60"/>
              <w:left w:type="dxa" w:w="100"/>
              <w:bottom w:type="dxa" w:w="60"/>
              <w:right w:type="dxa" w:w="100"/>
            </w:tcMar>
          </w:tcPr>
          <w:p>
            <w:r>
              <w:rPr>
                <w:rFonts w:ascii="Arial" w:cs="Arial" w:eastAsia="Arial" w:hAnsi="Arial"/>
                <w:b w:val="false"/>
                <w:bCs w:val="false"/>
                <w:sz w:val="19"/>
                <w:szCs w:val="19"/>
              </w:rPr>
              <w:t xml:space="preserve">Clear, actionable, consistent with the analysis.</w:t>
            </w:r>
          </w:p>
        </w:tc>
      </w:tr>
      <w:tr>
        <w:tc>
          <w:tcPr>
            <w:tcW w:type="dxa" w:w="2600"/>
            <w:tcMar>
              <w:top w:type="dxa" w:w="60"/>
              <w:left w:type="dxa" w:w="100"/>
              <w:bottom w:type="dxa" w:w="60"/>
              <w:right w:type="dxa" w:w="100"/>
            </w:tcMar>
          </w:tcPr>
          <w:p>
            <w:r>
              <w:rPr>
                <w:rFonts w:ascii="Arial" w:cs="Arial" w:eastAsia="Arial" w:hAnsi="Arial"/>
                <w:b w:val="false"/>
                <w:bCs w:val="false"/>
                <w:sz w:val="19"/>
                <w:szCs w:val="19"/>
              </w:rPr>
              <w:t xml:space="preserve">Communication</w:t>
            </w:r>
          </w:p>
        </w:tc>
        <w:tc>
          <w:tcPr>
            <w:tcW w:type="dxa" w:w="1100"/>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5326"/>
            <w:tcMar>
              <w:top w:type="dxa" w:w="60"/>
              <w:left w:type="dxa" w:w="100"/>
              <w:bottom w:type="dxa" w:w="60"/>
              <w:right w:type="dxa" w:w="100"/>
            </w:tcMar>
          </w:tcPr>
          <w:p>
            <w:r>
              <w:rPr>
                <w:rFonts w:ascii="Arial" w:cs="Arial" w:eastAsia="Arial" w:hAnsi="Arial"/>
                <w:b w:val="false"/>
                <w:bCs w:val="false"/>
                <w:sz w:val="19"/>
                <w:szCs w:val="19"/>
              </w:rPr>
              <w:t xml:space="preserve">Well-structured, concise, properly cited.</w:t>
            </w:r>
          </w:p>
        </w:tc>
      </w:tr>
    </w:tbl>
    <w:p>
      <w:pPr>
        <w:pStyle w:val="Heading2"/>
        <w:spacing w:after="100" w:before="220"/>
      </w:pPr>
      <w:r>
        <w:rPr>
          <w:rFonts w:ascii="Arial" w:cs="Arial" w:eastAsia="Arial" w:hAnsi="Arial"/>
          <w:b/>
          <w:bCs/>
          <w:color w:val="2E75B6"/>
          <w:sz w:val="25"/>
          <w:szCs w:val="25"/>
        </w:rPr>
        <w:t xml:space="preserve">Debate (10 points per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Criterion</w:t>
            </w:r>
          </w:p>
        </w:tc>
        <w:tc>
          <w:tcPr>
            <w:tcW w:type="dxa" w:w="20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Points</w:t>
            </w:r>
          </w:p>
        </w:tc>
      </w:tr>
      <w:tr>
        <w:tc>
          <w:tcPr>
            <w:tcW w:type="dxa" w:w="7026"/>
            <w:tcMar>
              <w:top w:type="dxa" w:w="60"/>
              <w:left w:type="dxa" w:w="100"/>
              <w:bottom w:type="dxa" w:w="60"/>
              <w:right w:type="dxa" w:w="100"/>
            </w:tcMar>
          </w:tcPr>
          <w:p>
            <w:r>
              <w:rPr>
                <w:rFonts w:ascii="Arial" w:cs="Arial" w:eastAsia="Arial" w:hAnsi="Arial"/>
                <w:b w:val="false"/>
                <w:bCs w:val="false"/>
                <w:sz w:val="19"/>
                <w:szCs w:val="19"/>
              </w:rPr>
              <w:t xml:space="preserve">Strength of arguments and evidence</w:t>
            </w:r>
          </w:p>
        </w:tc>
        <w:tc>
          <w:tcPr>
            <w:tcW w:type="dxa" w:w="2000"/>
            <w:tcMar>
              <w:top w:type="dxa" w:w="60"/>
              <w:left w:type="dxa" w:w="100"/>
              <w:bottom w:type="dxa" w:w="60"/>
              <w:right w:type="dxa" w:w="100"/>
            </w:tcMar>
          </w:tcPr>
          <w:p>
            <w:r>
              <w:rPr>
                <w:rFonts w:ascii="Arial" w:cs="Arial" w:eastAsia="Arial" w:hAnsi="Arial"/>
                <w:b w:val="false"/>
                <w:bCs w:val="false"/>
                <w:sz w:val="19"/>
                <w:szCs w:val="19"/>
              </w:rPr>
              <w:t xml:space="preserve">4</w:t>
            </w:r>
          </w:p>
        </w:tc>
      </w:tr>
      <w:tr>
        <w:tc>
          <w:tcPr>
            <w:tcW w:type="dxa" w:w="7026"/>
            <w:tcMar>
              <w:top w:type="dxa" w:w="60"/>
              <w:left w:type="dxa" w:w="100"/>
              <w:bottom w:type="dxa" w:w="60"/>
              <w:right w:type="dxa" w:w="100"/>
            </w:tcMar>
          </w:tcPr>
          <w:p>
            <w:r>
              <w:rPr>
                <w:rFonts w:ascii="Arial" w:cs="Arial" w:eastAsia="Arial" w:hAnsi="Arial"/>
                <w:b w:val="false"/>
                <w:bCs w:val="false"/>
                <w:sz w:val="19"/>
                <w:szCs w:val="19"/>
              </w:rPr>
              <w:t xml:space="preserve">Rebuttal of the other side</w:t>
            </w:r>
          </w:p>
        </w:tc>
        <w:tc>
          <w:tcPr>
            <w:tcW w:type="dxa" w:w="2000"/>
            <w:tcMar>
              <w:top w:type="dxa" w:w="60"/>
              <w:left w:type="dxa" w:w="100"/>
              <w:bottom w:type="dxa" w:w="60"/>
              <w:right w:type="dxa" w:w="100"/>
            </w:tcMar>
          </w:tcPr>
          <w:p>
            <w:r>
              <w:rPr>
                <w:rFonts w:ascii="Arial" w:cs="Arial" w:eastAsia="Arial" w:hAnsi="Arial"/>
                <w:b w:val="false"/>
                <w:bCs w:val="false"/>
                <w:sz w:val="19"/>
                <w:szCs w:val="19"/>
              </w:rPr>
              <w:t xml:space="preserve">3</w:t>
            </w:r>
          </w:p>
        </w:tc>
      </w:tr>
      <w:tr>
        <w:tc>
          <w:tcPr>
            <w:tcW w:type="dxa" w:w="7026"/>
            <w:tcMar>
              <w:top w:type="dxa" w:w="60"/>
              <w:left w:type="dxa" w:w="100"/>
              <w:bottom w:type="dxa" w:w="60"/>
              <w:right w:type="dxa" w:w="100"/>
            </w:tcMar>
          </w:tcPr>
          <w:p>
            <w:r>
              <w:rPr>
                <w:rFonts w:ascii="Arial" w:cs="Arial" w:eastAsia="Arial" w:hAnsi="Arial"/>
                <w:b w:val="false"/>
                <w:bCs w:val="false"/>
                <w:sz w:val="19"/>
                <w:szCs w:val="19"/>
              </w:rPr>
              <w:t xml:space="preserve">Use of OM concepts</w:t>
            </w:r>
          </w:p>
        </w:tc>
        <w:tc>
          <w:tcPr>
            <w:tcW w:type="dxa" w:w="2000"/>
            <w:tcMar>
              <w:top w:type="dxa" w:w="60"/>
              <w:left w:type="dxa" w:w="100"/>
              <w:bottom w:type="dxa" w:w="60"/>
              <w:right w:type="dxa" w:w="100"/>
            </w:tcMar>
          </w:tcPr>
          <w:p>
            <w:r>
              <w:rPr>
                <w:rFonts w:ascii="Arial" w:cs="Arial" w:eastAsia="Arial" w:hAnsi="Arial"/>
                <w:b w:val="false"/>
                <w:bCs w:val="false"/>
                <w:sz w:val="19"/>
                <w:szCs w:val="19"/>
              </w:rPr>
              <w:t xml:space="preserve">2</w:t>
            </w:r>
          </w:p>
        </w:tc>
      </w:tr>
      <w:tr>
        <w:tc>
          <w:tcPr>
            <w:tcW w:type="dxa" w:w="7026"/>
            <w:tcMar>
              <w:top w:type="dxa" w:w="60"/>
              <w:left w:type="dxa" w:w="100"/>
              <w:bottom w:type="dxa" w:w="60"/>
              <w:right w:type="dxa" w:w="100"/>
            </w:tcMar>
          </w:tcPr>
          <w:p>
            <w:r>
              <w:rPr>
                <w:rFonts w:ascii="Arial" w:cs="Arial" w:eastAsia="Arial" w:hAnsi="Arial"/>
                <w:b w:val="false"/>
                <w:bCs w:val="false"/>
                <w:sz w:val="19"/>
                <w:szCs w:val="19"/>
              </w:rPr>
              <w:t xml:space="preserve">Delivery and time management</w:t>
            </w:r>
          </w:p>
        </w:tc>
        <w:tc>
          <w:tcPr>
            <w:tcW w:type="dxa" w:w="2000"/>
            <w:tcMar>
              <w:top w:type="dxa" w:w="60"/>
              <w:left w:type="dxa" w:w="100"/>
              <w:bottom w:type="dxa" w:w="60"/>
              <w:right w:type="dxa" w:w="100"/>
            </w:tcMar>
          </w:tcPr>
          <w:p>
            <w:r>
              <w:rPr>
                <w:rFonts w:ascii="Arial" w:cs="Arial" w:eastAsia="Arial" w:hAnsi="Arial"/>
                <w:b w:val="false"/>
                <w:bCs w:val="false"/>
                <w:sz w:val="19"/>
                <w:szCs w:val="19"/>
              </w:rPr>
              <w:t xml:space="preserve">1</w:t>
            </w:r>
          </w:p>
        </w:tc>
      </w:tr>
    </w:tbl>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00000"/>
        <w:sz w:val="16"/>
        <w:szCs w:val="16"/>
      </w:rPr>
      <w:t xml:space="preserve">INSTRUCTOR ONLY — Solution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2026-10-17T06:36:56.555Z</dcterms:created>
  <dcterms:modified xsi:type="dcterms:W3CDTF">2026-10-17T06:36:56.555Z</dcterms:modified>
</cp:coreProperties>
</file>

<file path=docProps/custom.xml><?xml version="1.0" encoding="utf-8"?>
<Properties xmlns="http://schemas.openxmlformats.org/officeDocument/2006/custom-properties" xmlns:vt="http://schemas.openxmlformats.org/officeDocument/2006/docPropsVTypes"/>
</file>