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right="-7.795275590551114"/>
        <w:jc w:val="both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UT2y3 Tarea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ind w:right="-7.795275590551114"/>
        <w:jc w:val="both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Aprendizaje supervisado - Problemas de clasificación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color w:val="0b5394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0b5394"/>
          <w:sz w:val="23"/>
          <w:szCs w:val="23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Aplicar los operaciones vistos en la clase anterior sobre el dataset iris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Entrenamiento y prueba del modelo del cáncer de pecho con los algoritmos siguientes: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Algoritmo KNN (K-vecinos más cercanos)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Algoritmo Naive-Bayes (nuevo)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Medir la precisión del modelo entrenado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Conocer las características del conjunto de datos utilizando pandas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color w:val="0b539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Conjunto de datos: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El dataset del cáncer de pecho es un conjunto de datos que contiene información sobre 569 pacientes con tumores de mama, de los cuales 212 son malignos y 357 son benignos. El objetivo del modelo es predecir si un tumor es maligno o benigno a partir de 30 características numéricas extraídas de imágenes digitalizadas de los tejidos.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Herramientas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Páginas especializadas de internet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Chats de IA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Añade los prompts qué utilizas en los chats a la documentación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-7.795275590551114" w:firstLine="0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(Me interesa conocer cómo utilizais este tipo de herramientas)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Orientaciones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Utiliza los recursos a tu disposición para extraer, aprender y documentar la parte más esencial de los elementos con los qué estamos trabajando. No plantees la tarea como una mera recopilación de textos.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Contrasta la información qué encuentres en diferentes fuentes.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Importar las librerías necesarias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Cargar el dataset del cáncer de pecho desde scikit-learn. Haz una primera revisión de los datos.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¿Qué es un DataFrame de pandas? ¿Cuáles son sus características generales? ¿Para que nos puede resultar útil?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Crear un DataFrame de pandas con los datos y las etiquetas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Explorar el DataFrame. Obtener información básica y analizar el conjunto de datos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Obtener los conjuntos de entrenamiento y de prueba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El tamaño del conjunto de prueba debe suponer el 30% de las muestras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Los conjuntos de datos no deben variar con cada nueva iteración (es decir, deben ser siempre los mismos)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Entrenar el modelo con los siguientes algoritmos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u w:val="single"/>
          <w:rtl w:val="0"/>
        </w:rPr>
        <w:t xml:space="preserve">KNN K-vecinos más próximos</w:t>
      </w: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. Sobre este algoritmo: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216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¿Cuál es la función matemática qué utiliza para calcular las distancias?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216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Describe cómo funciona internamente el algoritmo (no pido su implementación. No quiero código)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144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u w:val="single"/>
          <w:rtl w:val="0"/>
        </w:rPr>
        <w:t xml:space="preserve">Naive Bayes</w:t>
      </w: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. Sobre este algoritmo: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216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Describe en esencia en qué se basa el algoritmo para trabajar con el conjunto de datos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216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¿Por qué dicen de este algoritmo qué es un clasificador ingenuo?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216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¿Qué ventajas e inconvenientes tiene?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Mide la precisión de la predicción. ¿Qué otras formas de medir se proponen en internet? ¿Cómo son los resultados qué obtienen? ¿Cómo se interpretan?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Crea el histograma para dos parámetros del modelo. Decora y titula la gráfica. Utiliza formatos diferentes en cada uno de ellos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Crea el diagrama de dispersión para dos parejas de parámetros del modelo. Decora y titula la gráfica utilizando diferentes formatos en cada uno de ellos.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64" w:lineRule="auto"/>
        <w:ind w:left="720" w:right="-7.795275590551114" w:hanging="360"/>
        <w:jc w:val="both"/>
        <w:rPr>
          <w:rFonts w:ascii="Trebuchet MS" w:cs="Trebuchet MS" w:eastAsia="Trebuchet MS" w:hAnsi="Trebuchet MS"/>
          <w:sz w:val="23"/>
          <w:szCs w:val="2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[opcional] Añade y documenta alguna operación más que pueda resultar interesante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7.795275590551114"/>
        <w:jc w:val="both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widowControl w:val="0"/>
      <w:jc w:val="center"/>
      <w:rPr>
        <w:b w:val="1"/>
        <w:i w:val="1"/>
        <w:color w:val="6d9eeb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629.338582677166" w:type="dxa"/>
      <w:jc w:val="left"/>
      <w:tblLayout w:type="fixed"/>
      <w:tblLook w:val="0600"/>
    </w:tblPr>
    <w:tblGrid>
      <w:gridCol w:w="4619.3385826771655"/>
      <w:gridCol w:w="3075"/>
      <w:gridCol w:w="1935"/>
      <w:tblGridChange w:id="0">
        <w:tblGrid>
          <w:gridCol w:w="4619.3385826771655"/>
          <w:gridCol w:w="3075"/>
          <w:gridCol w:w="19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1">
          <w:pPr>
            <w:pageBreakBefore w:val="0"/>
            <w:widowControl w:val="0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sz w:val="18"/>
              <w:szCs w:val="18"/>
              <w:rtl w:val="0"/>
            </w:rPr>
            <w:t xml:space="preserve">Sistemas de aprendizaje automático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widowControl w:val="0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sz w:val="18"/>
              <w:szCs w:val="18"/>
              <w:rtl w:val="0"/>
            </w:rPr>
            <w:t xml:space="preserve">2023-2024 v. 6</w:t>
          </w:r>
        </w:p>
        <w:p w:rsidR="00000000" w:rsidDel="00000000" w:rsidP="00000000" w:rsidRDefault="00000000" w:rsidRPr="00000000" w14:paraId="00000033">
          <w:pPr>
            <w:pageBreakBefore w:val="0"/>
            <w:widowControl w:val="0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sz w:val="18"/>
              <w:szCs w:val="18"/>
              <w:rtl w:val="0"/>
            </w:rPr>
            <w:t xml:space="preserve">UT2y3 Aprendizaje supervisado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4">
          <w:pPr>
            <w:pageBreakBefore w:val="0"/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Centro de Formación Profesional</w:t>
          </w:r>
        </w:p>
        <w:p w:rsidR="00000000" w:rsidDel="00000000" w:rsidP="00000000" w:rsidRDefault="00000000" w:rsidRPr="00000000" w14:paraId="00000035">
          <w:pPr>
            <w:pageBreakBefore w:val="0"/>
            <w:widowControl w:val="0"/>
            <w:jc w:val="center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sz w:val="18"/>
              <w:szCs w:val="18"/>
              <w:rtl w:val="0"/>
            </w:rPr>
            <w:t xml:space="preserve">María Auxiliadora</w:t>
          </w:r>
        </w:p>
        <w:p w:rsidR="00000000" w:rsidDel="00000000" w:rsidP="00000000" w:rsidRDefault="00000000" w:rsidRPr="00000000" w14:paraId="00000036">
          <w:pPr>
            <w:pageBreakBefore w:val="0"/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16"/>
              <w:szCs w:val="16"/>
              <w:rtl w:val="0"/>
            </w:rPr>
            <w:t xml:space="preserve">leoncma.salesianas.org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pageBreakBefore w:val="0"/>
            <w:widowControl w:val="0"/>
            <w:ind w:right="47.48031496062936"/>
            <w:jc w:val="right"/>
            <w:rPr>
              <w:b w:val="1"/>
              <w:i w:val="1"/>
              <w:color w:val="cc4125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color w:val="6d9eeb"/>
              <w:sz w:val="20"/>
              <w:szCs w:val="20"/>
            </w:rPr>
            <w:drawing>
              <wp:inline distB="114300" distT="114300" distL="114300" distR="114300">
                <wp:extent cx="1200150" cy="850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pageBreakBefore w:val="0"/>
      <w:widowControl w:val="0"/>
      <w:rPr>
        <w:b w:val="1"/>
        <w:i w:val="1"/>
        <w:color w:val="6d9eeb"/>
        <w:sz w:val="20"/>
        <w:szCs w:val="20"/>
      </w:rPr>
    </w:pPr>
    <w:r w:rsidDel="00000000" w:rsidR="00000000" w:rsidRPr="00000000">
      <w:rPr>
        <w:b w:val="1"/>
        <w:i w:val="1"/>
        <w:color w:val="a61c00"/>
        <w:sz w:val="20"/>
        <w:szCs w:val="20"/>
        <w:rtl w:val="0"/>
      </w:rPr>
      <w:t xml:space="preserve">Publicado 24/11/2023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