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4DEC3" w14:textId="77777777" w:rsidR="00626BD8" w:rsidRDefault="00000000">
      <w:pPr>
        <w:spacing w:after="20"/>
        <w:jc w:val="center"/>
      </w:pPr>
      <w:r>
        <w:rPr>
          <w:b/>
          <w:color w:val="1F4E79"/>
          <w:sz w:val="46"/>
        </w:rPr>
        <w:t>REGIONAL TRANSIT</w:t>
      </w:r>
    </w:p>
    <w:p w14:paraId="05529551" w14:textId="77777777" w:rsidR="00626BD8" w:rsidRDefault="00000000">
      <w:pPr>
        <w:spacing w:after="140"/>
        <w:jc w:val="center"/>
      </w:pPr>
      <w:r>
        <w:rPr>
          <w:i/>
          <w:color w:val="2F6F4E"/>
          <w:sz w:val="24"/>
        </w:rPr>
        <w:t>Connecting Communities. Expanding Access. Strengthening Freedom of Residential Choice.</w:t>
      </w:r>
    </w:p>
    <w:p w14:paraId="4C36F9ED" w14:textId="77777777" w:rsidR="00626BD8" w:rsidRDefault="00000000">
      <w:pPr>
        <w:spacing w:after="160"/>
        <w:jc w:val="center"/>
      </w:pPr>
      <w:r>
        <w:rPr>
          <w:color w:val="5F5F5F"/>
          <w:sz w:val="18"/>
        </w:rPr>
        <w:t>Information Age Community Mobility Framework | Concept Draft — August 22, 2026</w:t>
      </w:r>
    </w:p>
    <w:tbl>
      <w:tblPr>
        <w:tblW w:w="0" w:type="auto"/>
        <w:jc w:val="center"/>
        <w:tblLayout w:type="fixed"/>
        <w:tblLook w:val="04A0" w:firstRow="1" w:lastRow="0" w:firstColumn="1" w:lastColumn="0" w:noHBand="0" w:noVBand="1"/>
      </w:tblPr>
      <w:tblGrid>
        <w:gridCol w:w="6696"/>
        <w:gridCol w:w="7416"/>
      </w:tblGrid>
      <w:tr w:rsidR="00626BD8" w14:paraId="03C812AF" w14:textId="77777777" w:rsidTr="00AC41FE">
        <w:trPr>
          <w:jc w:val="center"/>
        </w:trPr>
        <w:tc>
          <w:tcPr>
            <w:tcW w:w="6696" w:type="dxa"/>
            <w:tcBorders>
              <w:top w:val="nil"/>
              <w:left w:val="nil"/>
              <w:bottom w:val="nil"/>
              <w:right w:val="nil"/>
            </w:tcBorders>
            <w:tcMar>
              <w:top w:w="90" w:type="dxa"/>
              <w:left w:w="110" w:type="dxa"/>
              <w:bottom w:w="90" w:type="dxa"/>
              <w:right w:w="110" w:type="dxa"/>
            </w:tcMar>
          </w:tcPr>
          <w:p w14:paraId="741EC718" w14:textId="77777777" w:rsidR="00626BD8" w:rsidRDefault="00000000">
            <w:r>
              <w:rPr>
                <w:b/>
                <w:color w:val="1F4E79"/>
                <w:sz w:val="26"/>
              </w:rPr>
              <w:t>THE PURPOSE</w:t>
            </w:r>
          </w:p>
          <w:p w14:paraId="5BC8E74B" w14:textId="77777777" w:rsidR="00626BD8" w:rsidRDefault="00000000">
            <w:pPr>
              <w:spacing w:after="100"/>
            </w:pPr>
            <w:r>
              <w:t>Regional Transit is the physical-access counterpart to the IAC’s virtualization strategy. It connects people to the capabilities that cannot—or should not—be moved to the home: health care, education, specialized services, workplaces, institutions, airports, cultural destinations, recreation, major markets, and one another.</w:t>
            </w:r>
          </w:p>
          <w:p w14:paraId="455E0096" w14:textId="77777777" w:rsidR="00626BD8" w:rsidRDefault="00000000">
            <w:r>
              <w:rPr>
                <w:b/>
                <w:color w:val="1F4E79"/>
                <w:sz w:val="24"/>
              </w:rPr>
              <w:t>CORE PROPOSITION</w:t>
            </w:r>
          </w:p>
          <w:p w14:paraId="42495A40" w14:textId="77777777" w:rsidR="00626BD8" w:rsidRDefault="00000000">
            <w:r>
              <w:t>Freedom of Residential Choice requires three things to work together:</w:t>
            </w:r>
          </w:p>
          <w:p w14:paraId="13182856" w14:textId="77777777" w:rsidR="00626BD8" w:rsidRDefault="00000000">
            <w:pPr>
              <w:spacing w:after="40"/>
              <w:ind w:left="115"/>
            </w:pPr>
            <w:r>
              <w:rPr>
                <w:b/>
                <w:color w:val="2F6F4E"/>
              </w:rPr>
              <w:t xml:space="preserve">Virtual Access: </w:t>
            </w:r>
            <w:r>
              <w:t>Move work, services and knowledge to the person whenever practical.</w:t>
            </w:r>
          </w:p>
          <w:p w14:paraId="20D031FA" w14:textId="77777777" w:rsidR="00626BD8" w:rsidRDefault="00000000">
            <w:pPr>
              <w:spacing w:after="40"/>
              <w:ind w:left="115"/>
            </w:pPr>
            <w:r>
              <w:rPr>
                <w:b/>
                <w:color w:val="2F6F4E"/>
              </w:rPr>
              <w:t xml:space="preserve">Physical Access: </w:t>
            </w:r>
            <w:r>
              <w:t>Connect people efficiently to the places where presence still matters.</w:t>
            </w:r>
          </w:p>
          <w:p w14:paraId="6E1A0947" w14:textId="77777777" w:rsidR="00626BD8" w:rsidRDefault="00000000">
            <w:pPr>
              <w:spacing w:after="40"/>
              <w:ind w:left="115"/>
            </w:pPr>
            <w:r>
              <w:rPr>
                <w:b/>
                <w:color w:val="2F6F4E"/>
              </w:rPr>
              <w:t xml:space="preserve">Institutional Permission: </w:t>
            </w:r>
            <w:r>
              <w:t>Align employer, governmental and institutional policies so people are actually allowed to use those choices.</w:t>
            </w:r>
          </w:p>
          <w:p w14:paraId="0B49227B" w14:textId="77777777" w:rsidR="00AC41FE" w:rsidRDefault="00AC41FE">
            <w:pPr>
              <w:spacing w:after="40"/>
              <w:ind w:left="115"/>
            </w:pPr>
          </w:p>
          <w:p w14:paraId="77E2D13D" w14:textId="77777777" w:rsidR="00626BD8" w:rsidRDefault="00000000">
            <w:r>
              <w:rPr>
                <w:b/>
                <w:color w:val="1F4E79"/>
                <w:sz w:val="24"/>
              </w:rPr>
              <w:t>THE IAC ROLE</w:t>
            </w:r>
          </w:p>
          <w:p w14:paraId="53821974" w14:textId="77777777" w:rsidR="00626BD8" w:rsidRDefault="00000000">
            <w:r>
              <w:rPr>
                <w:sz w:val="21"/>
              </w:rPr>
              <w:t>The IAC does not replace transit agencies, MPOs, state DOTs, local governments or private operators. It adds the Community layer: identifying actual access needs, connecting mobility to Community identity and quality of life, using Community Intelligence to reveal gaps, using e-Consensus to test priorities and policy barriers, and coordinating partners around solutions that strengthen Lifestyle Viability. That includes commuting and service access, freight and goods movement, tourism and festival circuits, and emergency/continuity movement when normal access is disrupted.</w:t>
            </w:r>
          </w:p>
          <w:p w14:paraId="41176091" w14:textId="77777777" w:rsidR="00626BD8" w:rsidRDefault="00000000">
            <w:pPr>
              <w:spacing w:before="80"/>
            </w:pPr>
            <w:r>
              <w:rPr>
                <w:b/>
                <w:i/>
                <w:color w:val="1F4E79"/>
                <w:sz w:val="21"/>
              </w:rPr>
              <w:t>Virtualize what can move to the person. Provide efficient physical access to what cannot. Remove institutional barriers to both. Then let people choose the Community that fits them best.</w:t>
            </w:r>
          </w:p>
        </w:tc>
        <w:tc>
          <w:tcPr>
            <w:tcW w:w="7416" w:type="dxa"/>
            <w:tcBorders>
              <w:top w:val="nil"/>
              <w:left w:val="nil"/>
              <w:bottom w:val="nil"/>
              <w:right w:val="nil"/>
            </w:tcBorders>
            <w:tcMar>
              <w:top w:w="90" w:type="dxa"/>
              <w:left w:w="110" w:type="dxa"/>
              <w:bottom w:w="90" w:type="dxa"/>
              <w:right w:w="110" w:type="dxa"/>
            </w:tcMar>
          </w:tcPr>
          <w:p w14:paraId="38E063F5" w14:textId="1FB97E1B" w:rsidR="00626BD8" w:rsidRDefault="00626BD8">
            <w:pPr>
              <w:jc w:val="center"/>
            </w:pPr>
          </w:p>
          <w:p w14:paraId="6F1B2FB4" w14:textId="0C3160A7" w:rsidR="00626BD8" w:rsidRDefault="00000000">
            <w:pPr>
              <w:jc w:val="center"/>
              <w:rPr>
                <w:b/>
                <w:color w:val="1F4E79"/>
              </w:rPr>
            </w:pPr>
            <w:r>
              <w:rPr>
                <w:b/>
                <w:color w:val="1F4E79"/>
              </w:rPr>
              <w:t>Virtual Access + Physical Access + Institutional Permission = Freedom of Residential Choice</w:t>
            </w:r>
          </w:p>
          <w:p w14:paraId="13677A36" w14:textId="5D559306" w:rsidR="00AC41FE" w:rsidRDefault="00AC41FE">
            <w:pPr>
              <w:jc w:val="center"/>
            </w:pPr>
            <w:r>
              <w:rPr>
                <w:noProof/>
              </w:rPr>
              <w:drawing>
                <wp:anchor distT="0" distB="0" distL="114300" distR="114300" simplePos="0" relativeHeight="251658752" behindDoc="1" locked="0" layoutInCell="1" allowOverlap="1" wp14:anchorId="34394748" wp14:editId="663E3488">
                  <wp:simplePos x="0" y="0"/>
                  <wp:positionH relativeFrom="column">
                    <wp:posOffset>457440</wp:posOffset>
                  </wp:positionH>
                  <wp:positionV relativeFrom="paragraph">
                    <wp:posOffset>158321</wp:posOffset>
                  </wp:positionV>
                  <wp:extent cx="3907155" cy="1019175"/>
                  <wp:effectExtent l="0" t="0" r="0" b="9525"/>
                  <wp:wrapTight wrapText="bothSides">
                    <wp:wrapPolygon edited="0">
                      <wp:start x="0" y="0"/>
                      <wp:lineTo x="0" y="21398"/>
                      <wp:lineTo x="21484" y="21398"/>
                      <wp:lineTo x="2148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C_Regional_Transit_Core_Graphic.png"/>
                          <pic:cNvPicPr/>
                        </pic:nvPicPr>
                        <pic:blipFill rotWithShape="1">
                          <a:blip r:embed="rId8"/>
                          <a:srcRect l="6549" t="32509" r="5251" b="7204"/>
                          <a:stretch/>
                        </pic:blipFill>
                        <pic:spPr bwMode="auto">
                          <a:xfrm>
                            <a:off x="0" y="0"/>
                            <a:ext cx="3907155" cy="1019175"/>
                          </a:xfrm>
                          <a:prstGeom prst="rect">
                            <a:avLst/>
                          </a:prstGeom>
                          <a:ln>
                            <a:noFill/>
                          </a:ln>
                          <a:extLst>
                            <a:ext uri="{53640926-AAD7-44D8-BBD7-CCE9431645EC}">
                              <a14:shadowObscured xmlns:a14="http://schemas.microsoft.com/office/drawing/2010/main"/>
                            </a:ext>
                          </a:extLst>
                        </pic:spPr>
                      </pic:pic>
                    </a:graphicData>
                  </a:graphic>
                </wp:anchor>
              </w:drawing>
            </w:r>
          </w:p>
        </w:tc>
      </w:tr>
    </w:tbl>
    <w:p w14:paraId="5075212B" w14:textId="77777777" w:rsidR="00AC41FE" w:rsidRDefault="00AC41FE"/>
    <w:p w14:paraId="141D96F4" w14:textId="77777777" w:rsidR="00AC41FE" w:rsidRDefault="00AC41FE"/>
    <w:p w14:paraId="5B35717B" w14:textId="77777777" w:rsidR="00AC41FE" w:rsidRDefault="00AC41FE"/>
    <w:p w14:paraId="7B6B3D85" w14:textId="77777777" w:rsidR="00AC41FE" w:rsidRDefault="00AC41FE"/>
    <w:p w14:paraId="6EA466B3" w14:textId="77777777" w:rsidR="00AC41FE" w:rsidRDefault="00AC41FE"/>
    <w:p w14:paraId="2D81655E" w14:textId="5C2410C6" w:rsidR="00626BD8" w:rsidRDefault="00000000">
      <w:r>
        <w:br/>
      </w:r>
    </w:p>
    <w:p w14:paraId="581A9DEA" w14:textId="77777777" w:rsidR="00626BD8" w:rsidRDefault="00000000">
      <w:pPr>
        <w:spacing w:before="100" w:after="60"/>
      </w:pPr>
      <w:r>
        <w:rPr>
          <w:b/>
        </w:rPr>
        <w:lastRenderedPageBreak/>
        <w:t>I. REGIONAL TRANSIT AS VIABILITY INFRASTRUCTURE</w:t>
      </w:r>
    </w:p>
    <w:p w14:paraId="102900E3" w14:textId="77777777" w:rsidR="00626BD8" w:rsidRDefault="00000000">
      <w:r>
        <w:t>The IAC treats mobility as part of Community viability, not as a separate transportation topic. Regional Transit has five connected roles: commuting and workforce access; freight and goods movement; tourism and cultural exchange; emergency and continuity mobility; and integration with the IAC's digital, workforce, service, resilience and Community-development systems. A Community may have excellent assets, but those assets do not contribute fully to quality of life if residents, visitors, workers, emergency personnel, critical supplies or goods cannot reach them reliably.</w:t>
      </w:r>
    </w:p>
    <w:p w14:paraId="1013C701" w14:textId="77777777" w:rsidR="00626BD8" w:rsidRDefault="00000000">
      <w:r>
        <w:t>The objective is not to make every Community physically self-sufficient. It is to ensure that residents can reach the capabilities required for a viable life from the Community they choose. This allows Small Towns, Trade Centers, suburbs, Inner City neighborhoods, high-density districts, and Farm &amp; Cabin environments to remain distinct while participating in one connected regional system.</w:t>
      </w:r>
    </w:p>
    <w:p w14:paraId="61C6303A" w14:textId="77777777" w:rsidR="00626BD8" w:rsidRDefault="00000000">
      <w:pPr>
        <w:spacing w:before="100" w:after="60"/>
      </w:pPr>
      <w:r>
        <w:rPr>
          <w:b/>
          <w:color w:val="1F4E79"/>
          <w:sz w:val="26"/>
        </w:rPr>
        <w:t>II. DESIGN AROUND THE IAC COMMUNITY OF INFLUENCE</w:t>
      </w:r>
    </w:p>
    <w:p w14:paraId="0B350A20" w14:textId="77777777" w:rsidR="00626BD8" w:rsidRDefault="00000000">
      <w:r>
        <w:t>Traditional transportation planning is often organized around jurisdictions, existing route structures, commuter patterns, or individual agencies. The IAC adds another lens: the actual Community of Influence through which people obtain work, services, education, health care, commerce, recreation and civic relationships.</w:t>
      </w:r>
    </w:p>
    <w:p w14:paraId="0CD21411" w14:textId="77777777" w:rsidR="00626BD8" w:rsidRDefault="00000000">
      <w:pPr>
        <w:pStyle w:val="ListBullet"/>
        <w:spacing w:after="20"/>
        <w:ind w:left="317" w:hanging="173"/>
      </w:pPr>
      <w:r>
        <w:t>Neighborhood / ZIP: the base mapping and demand-observation unit.</w:t>
      </w:r>
    </w:p>
    <w:p w14:paraId="72588A9E" w14:textId="77777777" w:rsidR="00626BD8" w:rsidRDefault="00000000">
      <w:pPr>
        <w:pStyle w:val="ListBullet"/>
        <w:spacing w:after="20"/>
        <w:ind w:left="317" w:hanging="173"/>
      </w:pPr>
      <w:r>
        <w:t>Community: the Trade Center and its Small Towns functioning as the smallest viable Community entity.</w:t>
      </w:r>
    </w:p>
    <w:p w14:paraId="49CAC350" w14:textId="77777777" w:rsidR="00626BD8" w:rsidRDefault="00000000">
      <w:pPr>
        <w:pStyle w:val="ListBullet"/>
        <w:spacing w:after="20"/>
        <w:ind w:left="317" w:hanging="173"/>
      </w:pPr>
      <w:r>
        <w:t>Trade Center: a concentrated service, employment, TeleCenter and transfer destination within the Community.</w:t>
      </w:r>
    </w:p>
    <w:p w14:paraId="02B3ADE8" w14:textId="77777777" w:rsidR="00626BD8" w:rsidRDefault="00000000">
      <w:pPr>
        <w:pStyle w:val="ListBullet"/>
        <w:spacing w:after="20"/>
        <w:ind w:left="317" w:hanging="173"/>
      </w:pPr>
      <w:r>
        <w:t>Metro Node: a functional urban/suburban activity center connecting housing, employment, services and mobility.</w:t>
      </w:r>
    </w:p>
    <w:p w14:paraId="42234897" w14:textId="77777777" w:rsidR="00626BD8" w:rsidRDefault="00000000">
      <w:pPr>
        <w:pStyle w:val="ListBullet"/>
        <w:spacing w:after="20"/>
        <w:ind w:left="317" w:hanging="173"/>
      </w:pPr>
      <w:r>
        <w:t>Major Trade Center: a higher-order employment, institutional, health, education and market anchor.</w:t>
      </w:r>
    </w:p>
    <w:p w14:paraId="5EA4A23F" w14:textId="77777777" w:rsidR="00626BD8" w:rsidRDefault="00000000">
      <w:pPr>
        <w:pStyle w:val="ListBullet"/>
        <w:spacing w:after="20"/>
        <w:ind w:left="317" w:hanging="173"/>
      </w:pPr>
      <w:r>
        <w:t>IAC: the broader Community of Influence in which regional physical and virtual access are coordinated.</w:t>
      </w:r>
    </w:p>
    <w:p w14:paraId="6CF1301D" w14:textId="77777777" w:rsidR="00626BD8" w:rsidRDefault="00000000">
      <w:r>
        <w:t>The resulting network should be multimodal. Local walking, biking, volunteer transportation, demand-responsive service, shuttles and first-mile/last-mile connections can feed higher-capacity regional links. The goal is not one technology. It is a coherent access system.</w:t>
      </w:r>
    </w:p>
    <w:p w14:paraId="7BCFB195" w14:textId="77777777" w:rsidR="00626BD8" w:rsidRDefault="00000000">
      <w:r>
        <w:rPr>
          <w:b/>
        </w:rPr>
        <w:t>III. FIVE FUNCTIONS OF THE IAC REGIONAL MOBILITY SYSTEM</w:t>
      </w:r>
    </w:p>
    <w:p w14:paraId="69DC9471" w14:textId="77777777" w:rsidR="00626BD8" w:rsidRDefault="00000000">
      <w:r>
        <w:rPr>
          <w:b/>
        </w:rPr>
        <w:t xml:space="preserve">Commuting and Workforce Access. </w:t>
      </w:r>
      <w:r>
        <w:t>Regional Transit must support the trips that remain necessary after Workforce Virtualization: periodic office attendance, shift work, training, interviews, meetings, education, health care and access to TeleCenters. The objective is not to preserve obsolete commuting patterns. It is to make required travel more reliable, less burdensome and better matched to a distributed workforce.</w:t>
      </w:r>
    </w:p>
    <w:p w14:paraId="4E37A1DF" w14:textId="77777777" w:rsidR="00626BD8" w:rsidRDefault="00000000">
      <w:r>
        <w:rPr>
          <w:b/>
        </w:rPr>
        <w:t xml:space="preserve">Freight and Goods Movement. </w:t>
      </w:r>
      <w:r>
        <w:t>Community viability also depends on moving products, supplies and deliveries. The IAC mobility strategy should connect local businesses, farms, manufacturers, retailers, health systems and households to regional freight networks, distribution points, airports, rail, highways and last-mile delivery. The IAC does not assume that one transit technology will carry every type of freight; it coordinates the appropriate mode with the Community and market need.</w:t>
      </w:r>
    </w:p>
    <w:p w14:paraId="4749B44A" w14:textId="77777777" w:rsidR="00626BD8" w:rsidRDefault="00000000">
      <w:r>
        <w:t>Tourism and Cultural Exchange. Regional mobility should make the IAC easier to experience. The IAC already contains hundreds of festivals and local events, along with recreation, sporting events, lake and cabin areas, historic places, Main Streets and other distinctive Community assets. With the right high-speed regional system, groups from metropolitan areas could use the Lens to discover and book festival circuits, themed tours and day trips that connect several Communities in one itinerary. The same system can bring rural residents into metropolitan cultural, sports and entertainment destinations. This expands visitor spending, strengthens local identity, increases urban-rural interaction and turns hundreds of individual events into a connected regional visitor economy.</w:t>
      </w:r>
    </w:p>
    <w:p w14:paraId="71965146" w14:textId="77777777" w:rsidR="00626BD8" w:rsidRDefault="00000000">
      <w:r>
        <w:rPr>
          <w:b/>
        </w:rPr>
        <w:t xml:space="preserve">Emergency and Continuity Mobility. </w:t>
      </w:r>
      <w:r>
        <w:t>A regional mobility system should also function when ordinary conditions do not. The same network that carries commuters and visitors can provide high-priority movement for hospital and specialty-care runs, emergency personnel, repair crews, replacement parts, medical supplies, continuity workers and other time-sensitive needs. In a major snowstorm, for example, Workforce Virtualization may allow an employee to work safely from home during the event, while a protected or weather-resilient regional corridor could make it practical to reach the office, hospital or critical facility the next morning when physical presence is again required. Emergency capability therefore becomes part of the everyday value proposition rather than a separate system used only in disasters.</w:t>
      </w:r>
    </w:p>
    <w:p w14:paraId="2EB8D4D4" w14:textId="77777777" w:rsidR="00626BD8" w:rsidRDefault="00000000">
      <w:r>
        <w:t>IAC Integration. Transit becomes more valuable when it is integrated with the rest of the IAC. The Lens can show destinations, festival and tour opportunities, schedules, Community profiles, freight and emergency access points; TeleCenters can act as mobility and service nodes; the Viability Index can reveal access gaps; WVP can forecast changing workforce travel; the Vulnerability Audit can identify continuity routes and critical facilities; e-Consensus can test priorities and policy barriers; and Community Boards and the IAC Board can align mobility investments with Community identity, quality of life and long-term Lifestyle Viability.</w:t>
      </w:r>
    </w:p>
    <w:p w14:paraId="03C9A029" w14:textId="77777777" w:rsidR="00626BD8" w:rsidRDefault="00000000">
      <w:pPr>
        <w:spacing w:before="100" w:after="60"/>
      </w:pPr>
      <w:r>
        <w:rPr>
          <w:b/>
        </w:rPr>
        <w:t>IV. A NEW MOBILITY PATTERN FOR A VIRTUALIZING ECONOMY</w:t>
      </w:r>
    </w:p>
    <w:p w14:paraId="691201E2" w14:textId="77777777" w:rsidR="00626BD8" w:rsidRDefault="00000000">
      <w:r>
        <w:lastRenderedPageBreak/>
        <w:t>Workforce Virtualization reduces the need for repetitive daily commuting, but it does not eliminate physical mobility. Instead, it changes its purpose. A distributed worker may travel less often but still need reliable access to meetings, training, specialized equipment, airports, health care, major institutions, customers, cultural events, and the employer’s physical facilities.</w:t>
      </w:r>
    </w:p>
    <w:p w14:paraId="72DF35C2" w14:textId="77777777" w:rsidR="00626BD8" w:rsidRDefault="00000000">
      <w:r>
        <w:t>That makes regional transit an enabling partner to Workforce Virtualization rather than a competing strategy. Virtualization reduces unnecessary trips. Transit makes the remaining necessary trips more reliable and expands the number of Communities from which those trips are practical.</w:t>
      </w:r>
    </w:p>
    <w:p w14:paraId="781E3A93" w14:textId="77777777" w:rsidR="00626BD8" w:rsidRDefault="00000000">
      <w:r>
        <w:t>For continuity workers, mobility also becomes part of resilience. Workers deliberately distributed outside a facility threat zone may still require reliable access to alternate facilities, TeleCenters, emergency operations, airports, data/communications support, or other critical nodes during recovery. A resilient regional system can also help move repair crews and replacement parts, support urgent hospital and specialty-care trips, deliver critical supplies, and restore physical access when snowstorms, flooding or other disruptions make normal road travel unreliable. The goal is not to defeat every weather event; it is to create another dependable layer of regional access when ordinary routes fail or become unsafe.</w:t>
      </w:r>
    </w:p>
    <w:p w14:paraId="3ABA1735" w14:textId="77777777" w:rsidR="00626BD8" w:rsidRDefault="00000000">
      <w:pPr>
        <w:spacing w:before="100" w:after="60"/>
      </w:pPr>
      <w:r>
        <w:rPr>
          <w:b/>
        </w:rPr>
        <w:t>V. TELECENTERS AS MOBILITY AND ACCESS NODES</w:t>
      </w:r>
    </w:p>
    <w:p w14:paraId="10192532" w14:textId="77777777" w:rsidR="00626BD8" w:rsidRDefault="00000000">
      <w:r>
        <w:t>The TeleCenter should be treated as both a service node and a mobility node. Residents may use it for technology support, training, e-Consensus participation, employer interviews, continuity work, public-service navigation, health-service access, meetings and specialized equipment. Transit therefore helps make the TeleCenter reachable, while the TeleCenter helps residents navigate and use the mobility system.</w:t>
      </w:r>
    </w:p>
    <w:p w14:paraId="2FB4B9F2" w14:textId="77777777" w:rsidR="00626BD8" w:rsidRDefault="00000000">
      <w:pPr>
        <w:pStyle w:val="ListBullet"/>
        <w:spacing w:after="20"/>
        <w:ind w:left="317" w:hanging="173"/>
      </w:pPr>
      <w:r>
        <w:t>route, schedule and regional access information;</w:t>
      </w:r>
    </w:p>
    <w:p w14:paraId="434E3708" w14:textId="77777777" w:rsidR="00626BD8" w:rsidRDefault="00000000">
      <w:pPr>
        <w:pStyle w:val="ListBullet"/>
        <w:spacing w:after="20"/>
        <w:ind w:left="317" w:hanging="173"/>
      </w:pPr>
      <w:r>
        <w:t>ride coordination, local shuttle and volunteer-driver connections;</w:t>
      </w:r>
    </w:p>
    <w:p w14:paraId="2AA1F7A3" w14:textId="77777777" w:rsidR="00626BD8" w:rsidRDefault="00000000">
      <w:pPr>
        <w:pStyle w:val="ListBullet"/>
        <w:spacing w:after="20"/>
        <w:ind w:left="317" w:hanging="173"/>
      </w:pPr>
      <w:r>
        <w:t>first-mile / last-mile support;</w:t>
      </w:r>
    </w:p>
    <w:p w14:paraId="22A5F7DE" w14:textId="77777777" w:rsidR="00626BD8" w:rsidRDefault="00000000">
      <w:pPr>
        <w:pStyle w:val="ListBullet"/>
        <w:spacing w:after="20"/>
        <w:ind w:left="317" w:hanging="173"/>
      </w:pPr>
      <w:r>
        <w:t>access to health, education, workforce and public-service destinations;</w:t>
      </w:r>
    </w:p>
    <w:p w14:paraId="5422B658" w14:textId="77777777" w:rsidR="00626BD8" w:rsidRDefault="00000000">
      <w:pPr>
        <w:pStyle w:val="ListBullet"/>
        <w:spacing w:after="20"/>
        <w:ind w:left="317" w:hanging="173"/>
      </w:pPr>
      <w:r>
        <w:t>mobility-needs reporting through the Lens and Community engagement tools;</w:t>
      </w:r>
    </w:p>
    <w:p w14:paraId="52BA3EBC" w14:textId="77777777" w:rsidR="00626BD8" w:rsidRDefault="00000000">
      <w:pPr>
        <w:pStyle w:val="ListBullet"/>
        <w:spacing w:after="20"/>
        <w:ind w:left="317" w:hanging="173"/>
      </w:pPr>
      <w:r>
        <w:t>eventual station or corridor support for advanced systems where appropriate.</w:t>
      </w:r>
    </w:p>
    <w:p w14:paraId="4E059A4C" w14:textId="77777777" w:rsidR="00626BD8" w:rsidRDefault="00000000">
      <w:pPr>
        <w:spacing w:before="100" w:after="60"/>
      </w:pPr>
      <w:r>
        <w:rPr>
          <w:b/>
        </w:rPr>
        <w:t>VI. TRANSITX / PODWAY AS A CANDIDATE TECHNOLOGY</w:t>
      </w:r>
    </w:p>
    <w:p w14:paraId="47FD33F2" w14:textId="77777777" w:rsidR="00626BD8" w:rsidRDefault="00000000">
      <w:r>
        <w:t>TransitX / Podway should be positioned as a possible advanced technology layer within the IAC mobility framework—not as the definition of Regional Transit and not as a predetermined answer for every corridor. Its potential value is the ability to provide frequent, automated, relatively small-vehicle movement on dedicated guideway between selected high-demand nodes.</w:t>
      </w:r>
    </w:p>
    <w:p w14:paraId="57BE98B0" w14:textId="77777777" w:rsidR="00626BD8" w:rsidRDefault="00000000">
      <w:r>
        <w:t>The IAC value is not simply adopting a new technology. It is providing the Community, data, demand, governance and implementation framework within which any proposed technology can be tested honestly against alternatives.</w:t>
      </w:r>
    </w:p>
    <w:p w14:paraId="45F4869B" w14:textId="77777777" w:rsidR="00626BD8" w:rsidRDefault="00000000">
      <w:pPr>
        <w:pStyle w:val="ListBullet"/>
        <w:spacing w:after="20"/>
        <w:ind w:left="317" w:hanging="173"/>
      </w:pPr>
      <w:r>
        <w:t>engineering and operational feasibility;</w:t>
      </w:r>
    </w:p>
    <w:p w14:paraId="50DCCD03" w14:textId="77777777" w:rsidR="00626BD8" w:rsidRDefault="00000000">
      <w:pPr>
        <w:pStyle w:val="ListBullet"/>
        <w:spacing w:after="20"/>
        <w:ind w:left="317" w:hanging="173"/>
      </w:pPr>
      <w:r>
        <w:t>right-of-way and land-use compatibility;</w:t>
      </w:r>
    </w:p>
    <w:p w14:paraId="41B1CAB9" w14:textId="77777777" w:rsidR="00626BD8" w:rsidRDefault="00000000">
      <w:pPr>
        <w:pStyle w:val="ListBullet"/>
        <w:spacing w:after="20"/>
        <w:ind w:left="317" w:hanging="173"/>
      </w:pPr>
      <w:r>
        <w:t>capital and lifecycle cost;</w:t>
      </w:r>
    </w:p>
    <w:p w14:paraId="5CBB04DB" w14:textId="77777777" w:rsidR="00626BD8" w:rsidRDefault="00000000">
      <w:pPr>
        <w:pStyle w:val="ListBullet"/>
        <w:spacing w:after="20"/>
        <w:ind w:left="317" w:hanging="173"/>
      </w:pPr>
      <w:r>
        <w:t>safety and regulatory pathway;</w:t>
      </w:r>
    </w:p>
    <w:p w14:paraId="0DB623BF" w14:textId="77777777" w:rsidR="00626BD8" w:rsidRDefault="00000000">
      <w:pPr>
        <w:pStyle w:val="ListBullet"/>
        <w:spacing w:after="20"/>
        <w:ind w:left="317" w:hanging="173"/>
      </w:pPr>
      <w:r>
        <w:t>ridership and demand;</w:t>
      </w:r>
    </w:p>
    <w:p w14:paraId="1F86163A" w14:textId="77777777" w:rsidR="00626BD8" w:rsidRDefault="00000000">
      <w:pPr>
        <w:pStyle w:val="ListBullet"/>
        <w:spacing w:after="20"/>
        <w:ind w:left="317" w:hanging="173"/>
      </w:pPr>
      <w:r>
        <w:t>integration with existing transit, roads and active transportation;</w:t>
      </w:r>
    </w:p>
    <w:p w14:paraId="760F7F9E" w14:textId="77777777" w:rsidR="00626BD8" w:rsidRDefault="00000000">
      <w:pPr>
        <w:pStyle w:val="ListBullet"/>
        <w:spacing w:after="20"/>
        <w:ind w:left="317" w:hanging="173"/>
      </w:pPr>
      <w:r>
        <w:t>public acceptance and Community priorities;</w:t>
      </w:r>
    </w:p>
    <w:p w14:paraId="4B9FB45A" w14:textId="77777777" w:rsidR="00626BD8" w:rsidRDefault="00000000">
      <w:pPr>
        <w:pStyle w:val="ListBullet"/>
        <w:spacing w:after="20"/>
        <w:ind w:left="317" w:hanging="173"/>
      </w:pPr>
      <w:r>
        <w:t>funding and operating model;</w:t>
      </w:r>
    </w:p>
    <w:p w14:paraId="48D6C686" w14:textId="77777777" w:rsidR="00626BD8" w:rsidRDefault="00000000">
      <w:pPr>
        <w:pStyle w:val="ListBullet"/>
        <w:spacing w:after="20"/>
        <w:ind w:left="317" w:hanging="173"/>
      </w:pPr>
      <w:r>
        <w:t>resilience and maintenance requirements;</w:t>
      </w:r>
    </w:p>
    <w:p w14:paraId="728AD6BF" w14:textId="77777777" w:rsidR="00626BD8" w:rsidRDefault="00000000">
      <w:pPr>
        <w:pStyle w:val="ListBullet"/>
        <w:spacing w:after="20"/>
        <w:ind w:left="317" w:hanging="173"/>
      </w:pPr>
      <w:r>
        <w:t>comparative value against other mobility options.</w:t>
      </w:r>
    </w:p>
    <w:p w14:paraId="535D55F2" w14:textId="77777777" w:rsidR="00626BD8" w:rsidRDefault="00000000">
      <w:pPr>
        <w:spacing w:before="100" w:after="60"/>
      </w:pPr>
      <w:r>
        <w:rPr>
          <w:b/>
        </w:rPr>
        <w:t>VII. THE MPO CONNECTION</w:t>
      </w:r>
    </w:p>
    <w:p w14:paraId="3EB708CB" w14:textId="77777777" w:rsidR="00626BD8" w:rsidRDefault="00000000">
      <w:r>
        <w:t>The relationship with Metropolitan Planning Organizations is fundamental. The IAC is not an MPO and does not duplicate MPO statutory transportation planning. It can, however, improve the demand-side intelligence available to MPOs by connecting Community conditions, employer deployment decisions, workforce geography, service access, Community priorities and resilience needs.</w:t>
      </w:r>
    </w:p>
    <w:p w14:paraId="0ED93275" w14:textId="77777777" w:rsidR="00626BD8" w:rsidRDefault="00000000">
      <w:r>
        <w:lastRenderedPageBreak/>
        <w:t>WVP can generate standardized observations about workforce deployment, commuting, facility geography and continuity. The Vulnerability Audit can identify concentration risk and affected corridors. The Viability Index can reveal ZIP-level access conditions and trends. The Lens and TeleCenter can capture resident mobility needs. e-Consensus can document Community priorities and tradeoffs. Together, these sources can give MPOs a richer view of how Information Age changes may affect travel demand and infrastructure requirements.</w:t>
      </w:r>
    </w:p>
    <w:p w14:paraId="3D717CC2" w14:textId="77777777" w:rsidR="00626BD8" w:rsidRDefault="00000000">
      <w:pPr>
        <w:pStyle w:val="ListBullet"/>
        <w:spacing w:after="20"/>
        <w:ind w:left="317" w:hanging="173"/>
      </w:pPr>
      <w:r>
        <w:t>forecast changes in commuting and peak-period demand;</w:t>
      </w:r>
    </w:p>
    <w:p w14:paraId="45CBF88A" w14:textId="77777777" w:rsidR="00626BD8" w:rsidRDefault="00000000">
      <w:pPr>
        <w:pStyle w:val="ListBullet"/>
        <w:spacing w:after="20"/>
        <w:ind w:left="317" w:hanging="173"/>
      </w:pPr>
      <w:r>
        <w:t>identify underserved access relationships that conventional commute data can miss;</w:t>
      </w:r>
    </w:p>
    <w:p w14:paraId="3D0AACB6" w14:textId="77777777" w:rsidR="00626BD8" w:rsidRDefault="00000000">
      <w:pPr>
        <w:pStyle w:val="ListBullet"/>
        <w:spacing w:after="20"/>
        <w:ind w:left="317" w:hanging="173"/>
      </w:pPr>
      <w:r>
        <w:t>evaluate employer and workforce virtualization scenarios;</w:t>
      </w:r>
    </w:p>
    <w:p w14:paraId="5D908F24" w14:textId="77777777" w:rsidR="00626BD8" w:rsidRDefault="00000000">
      <w:pPr>
        <w:pStyle w:val="ListBullet"/>
        <w:spacing w:after="20"/>
        <w:ind w:left="317" w:hanging="173"/>
      </w:pPr>
      <w:r>
        <w:t>connect mobility investments to housing, service, economic-development and resilience objectives;</w:t>
      </w:r>
    </w:p>
    <w:p w14:paraId="0DD04DCB" w14:textId="77777777" w:rsidR="00626BD8" w:rsidRDefault="00000000">
      <w:pPr>
        <w:pStyle w:val="ListBullet"/>
        <w:spacing w:after="20"/>
        <w:ind w:left="317" w:hanging="173"/>
      </w:pPr>
      <w:r>
        <w:t>identify continuity routes and redundant access needs;</w:t>
      </w:r>
    </w:p>
    <w:p w14:paraId="0B4525F0" w14:textId="77777777" w:rsidR="00626BD8" w:rsidRDefault="00000000">
      <w:pPr>
        <w:pStyle w:val="ListBullet"/>
        <w:spacing w:after="20"/>
        <w:ind w:left="317" w:hanging="173"/>
      </w:pPr>
      <w:r>
        <w:t>compare corridor investments using Community and regional outcomes;</w:t>
      </w:r>
    </w:p>
    <w:p w14:paraId="76CD1CB6" w14:textId="77777777" w:rsidR="00626BD8" w:rsidRDefault="00000000">
      <w:pPr>
        <w:pStyle w:val="ListBullet"/>
        <w:spacing w:after="20"/>
        <w:ind w:left="317" w:hanging="173"/>
      </w:pPr>
      <w:r>
        <w:t>support long-range scenario planning with standardized Community and employer intelligence.</w:t>
      </w:r>
    </w:p>
    <w:p w14:paraId="35D3589F" w14:textId="77777777" w:rsidR="00626BD8" w:rsidRDefault="00000000">
      <w:pPr>
        <w:spacing w:before="100" w:after="60"/>
      </w:pPr>
      <w:r>
        <w:rPr>
          <w:b/>
        </w:rPr>
        <w:t>VIII. COMMUNITY VOICE, POLICY AND INSTITUTIONAL PERMISSION</w:t>
      </w:r>
    </w:p>
    <w:p w14:paraId="07FB91D3" w14:textId="77777777" w:rsidR="00626BD8" w:rsidRDefault="00000000">
      <w:r>
        <w:t>Physical infrastructure alone does not create mobility freedom. Access also depends upon policies: employer travel expectations, transit service rules, reimbursement practices, land-use and right-of-way decisions, public funding criteria, operating agreements, insurance, accessibility requirements, and other institutional choices.</w:t>
      </w:r>
    </w:p>
    <w:p w14:paraId="5915F8C2" w14:textId="77777777" w:rsidR="00626BD8" w:rsidRDefault="00000000">
      <w:r>
        <w:t>This is where e-Consensus has an important role. It can help Communities, employers, agencies and affected institutions identify the policy barriers preventing a preferred mobility or distributed-work model; examine alternatives; document priorities and tradeoffs; and develop a Community-supported position for the organizations that actually hold formal authority.</w:t>
      </w:r>
    </w:p>
    <w:p w14:paraId="3AF511A7" w14:textId="77777777" w:rsidR="00626BD8" w:rsidRDefault="00000000">
      <w:r>
        <w:t>The Community does not acquire regulatory authority through e-Consensus. It acquires something different: a disciplined, documented and informed Community Voice that can influence those who do have the authority to change policy.</w:t>
      </w:r>
    </w:p>
    <w:p w14:paraId="66B31213" w14:textId="77777777" w:rsidR="00626BD8" w:rsidRDefault="00000000">
      <w:pPr>
        <w:spacing w:before="100" w:after="60"/>
      </w:pPr>
      <w:r>
        <w:rPr>
          <w:b/>
        </w:rPr>
        <w:t>IX. FREEDOM OF RESIDENTIAL CHOICE</w:t>
      </w:r>
    </w:p>
    <w:p w14:paraId="7EC95E02" w14:textId="77777777" w:rsidR="00626BD8" w:rsidRDefault="00000000">
      <w:r>
        <w:t>Regional Transit expands the geography of realistic residential choice. A household may prefer a Small Town, lake Community, agricultural setting, suburb, Inner City neighborhood or high-density environment. Virtualization may remove the requirement to commute daily, but periodic physical access can still determine whether the choice is practical.</w:t>
      </w:r>
    </w:p>
    <w:p w14:paraId="0E285D47" w14:textId="77777777" w:rsidR="00626BD8" w:rsidRDefault="00000000">
      <w:r>
        <w:t>When the IAC combines virtual access, reliable physical mobility and supporting policy, more Communities become realistic choices. This reinforces the emerging IAC development model: Communities strengthen their identities and quality of life, the Lens helps people find compatible places, WVP and public/private policies enable relocation, and mobility connects households to the opportunities that still require physical presence.</w:t>
      </w:r>
    </w:p>
    <w:p w14:paraId="3D8F2BA9" w14:textId="77777777" w:rsidR="00626BD8" w:rsidRDefault="00000000">
      <w:pPr>
        <w:spacing w:before="100" w:after="60"/>
      </w:pPr>
      <w:r>
        <w:rPr>
          <w:b/>
        </w:rPr>
        <w:t>X. COMMUNITY IDENTITY AND REGIONAL ACCESS</w:t>
      </w:r>
    </w:p>
    <w:p w14:paraId="388AB515" w14:textId="77777777" w:rsidR="00626BD8" w:rsidRDefault="00000000">
      <w:r>
        <w:t>Mobility should strengthen Community identity rather than erase it. The objective is not to turn every Community into a commuter suburb of a larger center. Better access should allow Communities to remain distinctive while reducing the disadvantages created by isolation.</w:t>
      </w:r>
    </w:p>
    <w:p w14:paraId="3C51B36E" w14:textId="77777777" w:rsidR="00626BD8" w:rsidRDefault="00000000">
      <w:r>
        <w:t>This makes regional connectivity itself part of Community marketing. A Community can truthfully present both what is available locally and what can be reached efficiently through the larger IAC. The more distinctive and accessible the Communities within the IAC become, the more attractive the IAC becomes as a portfolio of lifestyle choices.</w:t>
      </w:r>
    </w:p>
    <w:p w14:paraId="255D63C5" w14:textId="77777777" w:rsidR="00626BD8" w:rsidRDefault="00000000">
      <w:pPr>
        <w:spacing w:before="100" w:after="60"/>
      </w:pPr>
      <w:r>
        <w:rPr>
          <w:b/>
        </w:rPr>
        <w:t>XI. GOVERNANCE AND STEWARDSHIP</w:t>
      </w:r>
    </w:p>
    <w:p w14:paraId="0AC94A1F" w14:textId="77777777" w:rsidR="00626BD8" w:rsidRDefault="00000000">
      <w:r>
        <w:t>Roles should remain clear. Communities identify lived access needs and priorities. The Community Board stewards the local position. The Mobility / Transit Collaborative provides volunteer and professional expertise, evaluates technologies and alternatives, coordinates with agencies and operators, and prepares recommendations. The IAC Board establishes common tools and standards, aligns cross-Community priorities, and authorizes IAC commitments within its governing authority. MPOs, transit agencies, state DOTs, local governments and other public bodies retain their statutory responsibilities. Private operators and technology providers deliver services under appropriate agreements.</w:t>
      </w:r>
    </w:p>
    <w:p w14:paraId="672D3AA9" w14:textId="77777777" w:rsidR="00626BD8" w:rsidRDefault="00000000">
      <w:r>
        <w:t>The governing principle is the same one used elsewhere in the IAC: standardize the tools and coordination structure; do not standardize the Community.</w:t>
      </w:r>
    </w:p>
    <w:p w14:paraId="4D305676" w14:textId="77777777" w:rsidR="00626BD8" w:rsidRDefault="00000000">
      <w:pPr>
        <w:spacing w:before="80" w:after="40"/>
      </w:pPr>
      <w:r>
        <w:rPr>
          <w:b/>
        </w:rPr>
        <w:t>XII. A DISCIPLINED PROJECT REVIEW PROCESS</w:t>
      </w:r>
    </w:p>
    <w:p w14:paraId="5271CA60" w14:textId="77777777" w:rsidR="00626BD8" w:rsidRDefault="00000000">
      <w:pPr>
        <w:spacing w:after="20"/>
      </w:pPr>
      <w:r>
        <w:t xml:space="preserve">Regional mobility investments should enter the same IAC project-development discipline used for other major initiatives. A proposed corridor begins with the problem to be solved, not with a preferred technology. Community Intelligence establishes context; missing information is identified; beneficiaries and stakeholders are broadened; alternatives </w:t>
      </w:r>
      <w:r>
        <w:lastRenderedPageBreak/>
        <w:t>are modeled; Community priorities are tested; funding and implementation partners are assembled; and the preferred approach is reviewed against total Community and regional return.</w:t>
      </w:r>
    </w:p>
    <w:p w14:paraId="726DB916" w14:textId="77777777" w:rsidR="00626BD8" w:rsidRDefault="00000000">
      <w:pPr>
        <w:pStyle w:val="ListBullet"/>
        <w:spacing w:after="20"/>
        <w:ind w:left="317" w:hanging="173"/>
      </w:pPr>
      <w:r>
        <w:t>Select a corridor, access problem or node relationship.</w:t>
      </w:r>
    </w:p>
    <w:p w14:paraId="766276A0" w14:textId="77777777" w:rsidR="00626BD8" w:rsidRDefault="00000000">
      <w:pPr>
        <w:pStyle w:val="ListBullet"/>
        <w:spacing w:after="20"/>
        <w:ind w:left="317" w:hanging="173"/>
      </w:pPr>
      <w:r>
        <w:t>Map population, employers, schools, hospitals and specialty-care facilities, TeleCenters, freight generators and distribution points, critical repair and supply nodes, tourism and recreation destinations, festivals and events, institutions, and service destinations.</w:t>
      </w:r>
    </w:p>
    <w:p w14:paraId="3A6DDF39" w14:textId="77777777" w:rsidR="00626BD8" w:rsidRDefault="00000000">
      <w:pPr>
        <w:pStyle w:val="ListBullet"/>
      </w:pPr>
      <w:r>
        <w:t>Test at least one emergency/continuity use case, such as hospital access, critical-parts movement, continuity-worker travel or severe-weather recovery, to measure redundancy and response value.</w:t>
      </w:r>
    </w:p>
    <w:p w14:paraId="2419545E" w14:textId="77777777" w:rsidR="00626BD8" w:rsidRDefault="00000000">
      <w:pPr>
        <w:pStyle w:val="ListBullet"/>
      </w:pPr>
      <w:r>
        <w:t>Test at least one tourism use case, such as a metropolitan-to-rural festival circuit or multi-Community day tour, to measure visitor spending, urban-rural interaction and Community marketing value.</w:t>
      </w:r>
    </w:p>
    <w:p w14:paraId="7AC658A3" w14:textId="77777777" w:rsidR="00626BD8" w:rsidRDefault="00000000">
      <w:pPr>
        <w:pStyle w:val="ListBullet"/>
        <w:spacing w:after="20"/>
        <w:ind w:left="317" w:hanging="173"/>
      </w:pPr>
      <w:r>
        <w:t>Use Viability data to identify access gaps and affected populations.</w:t>
      </w:r>
    </w:p>
    <w:p w14:paraId="264351CA" w14:textId="77777777" w:rsidR="00626BD8" w:rsidRDefault="00000000">
      <w:pPr>
        <w:pStyle w:val="ListBullet"/>
        <w:spacing w:after="20"/>
        <w:ind w:left="317" w:hanging="173"/>
      </w:pPr>
      <w:r>
        <w:t>Use WVP and Vulnerability data to identify future workforce, travel-demand and continuity requirements.</w:t>
      </w:r>
    </w:p>
    <w:p w14:paraId="7FA56D7F" w14:textId="77777777" w:rsidR="00626BD8" w:rsidRDefault="00000000">
      <w:pPr>
        <w:pStyle w:val="ListBullet"/>
        <w:spacing w:after="20"/>
        <w:ind w:left="317" w:hanging="173"/>
      </w:pPr>
      <w:r>
        <w:t>Compare demand-response, shuttle, bus, rail, employer-supported service, active transportation and advanced guideway alternatives as appropriate.</w:t>
      </w:r>
    </w:p>
    <w:p w14:paraId="0866AD68" w14:textId="77777777" w:rsidR="00626BD8" w:rsidRDefault="00000000">
      <w:pPr>
        <w:pStyle w:val="ListBullet"/>
        <w:spacing w:after="20"/>
        <w:ind w:left="317" w:hanging="173"/>
      </w:pPr>
      <w:r>
        <w:t>Use e-Consensus to test resident priorities, policy barriers and tradeoffs.</w:t>
      </w:r>
    </w:p>
    <w:p w14:paraId="66172374" w14:textId="77777777" w:rsidR="00626BD8" w:rsidRDefault="00000000">
      <w:pPr>
        <w:pStyle w:val="ListBullet"/>
        <w:spacing w:after="20"/>
        <w:ind w:left="317" w:hanging="173"/>
      </w:pPr>
      <w:r>
        <w:t>Use the Mobility / Transit Collaborative and public partners to evaluate feasibility.</w:t>
      </w:r>
    </w:p>
    <w:p w14:paraId="20B80D95" w14:textId="77777777" w:rsidR="00626BD8" w:rsidRDefault="00000000">
      <w:pPr>
        <w:pStyle w:val="ListBullet"/>
        <w:spacing w:after="20"/>
        <w:ind w:left="317" w:hanging="173"/>
      </w:pPr>
      <w:r>
        <w:t>Develop the preferred project through the IAC project review and funding process.</w:t>
      </w:r>
    </w:p>
    <w:p w14:paraId="4FEDCAF2" w14:textId="77777777" w:rsidR="00626BD8" w:rsidRDefault="00000000">
      <w:pPr>
        <w:spacing w:before="60" w:after="20"/>
      </w:pPr>
      <w:r>
        <w:rPr>
          <w:b/>
          <w:color w:val="2F6F4E"/>
          <w:sz w:val="22"/>
        </w:rPr>
        <w:t>Demonstration approach</w:t>
      </w:r>
    </w:p>
    <w:p w14:paraId="708F7A21" w14:textId="77777777" w:rsidR="00626BD8" w:rsidRDefault="00000000">
      <w:pPr>
        <w:spacing w:after="20"/>
      </w:pPr>
      <w:r>
        <w:t>Begin with one bounded corridor or node-to-node study. Prove the planning method, data interfaces, engagement process, partner structure and measurable outcomes before scaling.</w:t>
      </w:r>
    </w:p>
    <w:p w14:paraId="4B4D4A7C" w14:textId="77777777" w:rsidR="00626BD8" w:rsidRDefault="00000000">
      <w:pPr>
        <w:spacing w:before="80" w:after="40"/>
      </w:pPr>
      <w:r>
        <w:rPr>
          <w:b/>
        </w:rPr>
        <w:t>XIV. CONNECTIONS TO THE OTHER IAC COMPONENTS</w:t>
      </w:r>
    </w:p>
    <w:tbl>
      <w:tblPr>
        <w:tblW w:w="0" w:type="auto"/>
        <w:jc w:val="center"/>
        <w:tblLayout w:type="fixed"/>
        <w:tblLook w:val="04A0" w:firstRow="1" w:lastRow="0" w:firstColumn="1" w:lastColumn="0" w:noHBand="0" w:noVBand="1"/>
      </w:tblPr>
      <w:tblGrid>
        <w:gridCol w:w="4752"/>
        <w:gridCol w:w="4752"/>
        <w:gridCol w:w="4752"/>
      </w:tblGrid>
      <w:tr w:rsidR="00626BD8" w14:paraId="7A4D10DB" w14:textId="77777777">
        <w:trPr>
          <w:jc w:val="center"/>
        </w:trPr>
        <w:tc>
          <w:tcPr>
            <w:tcW w:w="4752" w:type="dxa"/>
            <w:tcMar>
              <w:top w:w="55" w:type="dxa"/>
              <w:left w:w="75" w:type="dxa"/>
              <w:bottom w:w="55" w:type="dxa"/>
              <w:right w:w="75" w:type="dxa"/>
            </w:tcMar>
            <w:vAlign w:val="center"/>
          </w:tcPr>
          <w:p w14:paraId="6F2F52AE" w14:textId="77777777" w:rsidR="00626BD8" w:rsidRDefault="00000000">
            <w:pPr>
              <w:spacing w:after="20"/>
            </w:pPr>
            <w:r>
              <w:rPr>
                <w:b/>
                <w:color w:val="1F4E79"/>
                <w:sz w:val="18"/>
              </w:rPr>
              <w:t>Community Lens</w:t>
            </w:r>
          </w:p>
          <w:p w14:paraId="0583E309" w14:textId="77777777" w:rsidR="00626BD8" w:rsidRDefault="00000000">
            <w:pPr>
              <w:spacing w:after="20"/>
            </w:pPr>
            <w:r>
              <w:rPr>
                <w:sz w:val="17"/>
              </w:rPr>
              <w:t>Routes, profiles, mobility information and resident input.</w:t>
            </w:r>
          </w:p>
        </w:tc>
        <w:tc>
          <w:tcPr>
            <w:tcW w:w="4752" w:type="dxa"/>
            <w:tcMar>
              <w:top w:w="55" w:type="dxa"/>
              <w:left w:w="75" w:type="dxa"/>
              <w:bottom w:w="55" w:type="dxa"/>
              <w:right w:w="75" w:type="dxa"/>
            </w:tcMar>
            <w:vAlign w:val="center"/>
          </w:tcPr>
          <w:p w14:paraId="2FA993A2" w14:textId="77777777" w:rsidR="00626BD8" w:rsidRDefault="00000000">
            <w:pPr>
              <w:spacing w:after="20"/>
            </w:pPr>
            <w:r>
              <w:rPr>
                <w:b/>
                <w:color w:val="1F4E79"/>
                <w:sz w:val="18"/>
              </w:rPr>
              <w:t>TeleCenter</w:t>
            </w:r>
          </w:p>
          <w:p w14:paraId="17916CA5" w14:textId="77777777" w:rsidR="00626BD8" w:rsidRDefault="00000000">
            <w:pPr>
              <w:spacing w:after="20"/>
            </w:pPr>
            <w:r>
              <w:rPr>
                <w:sz w:val="17"/>
              </w:rPr>
              <w:t>Local mobility/service node and access support.</w:t>
            </w:r>
          </w:p>
        </w:tc>
        <w:tc>
          <w:tcPr>
            <w:tcW w:w="4752" w:type="dxa"/>
            <w:tcMar>
              <w:top w:w="55" w:type="dxa"/>
              <w:left w:w="75" w:type="dxa"/>
              <w:bottom w:w="55" w:type="dxa"/>
              <w:right w:w="75" w:type="dxa"/>
            </w:tcMar>
            <w:vAlign w:val="center"/>
          </w:tcPr>
          <w:p w14:paraId="4101B1A9" w14:textId="77777777" w:rsidR="00626BD8" w:rsidRDefault="00000000">
            <w:pPr>
              <w:spacing w:after="20"/>
            </w:pPr>
            <w:r>
              <w:rPr>
                <w:b/>
                <w:color w:val="1F4E79"/>
                <w:sz w:val="18"/>
              </w:rPr>
              <w:t>Viability Index</w:t>
            </w:r>
          </w:p>
          <w:p w14:paraId="79097150" w14:textId="77777777" w:rsidR="00626BD8" w:rsidRDefault="00000000">
            <w:pPr>
              <w:spacing w:after="20"/>
            </w:pPr>
            <w:r>
              <w:rPr>
                <w:sz w:val="17"/>
              </w:rPr>
              <w:t>Access gaps, trends and multi-category impacts.</w:t>
            </w:r>
          </w:p>
        </w:tc>
      </w:tr>
      <w:tr w:rsidR="00626BD8" w14:paraId="45EF2C85" w14:textId="77777777">
        <w:trPr>
          <w:jc w:val="center"/>
        </w:trPr>
        <w:tc>
          <w:tcPr>
            <w:tcW w:w="4752" w:type="dxa"/>
            <w:tcMar>
              <w:top w:w="55" w:type="dxa"/>
              <w:left w:w="75" w:type="dxa"/>
              <w:bottom w:w="55" w:type="dxa"/>
              <w:right w:w="75" w:type="dxa"/>
            </w:tcMar>
            <w:vAlign w:val="center"/>
          </w:tcPr>
          <w:p w14:paraId="798C9911" w14:textId="77777777" w:rsidR="00626BD8" w:rsidRDefault="00000000">
            <w:pPr>
              <w:spacing w:after="20"/>
            </w:pPr>
            <w:r>
              <w:rPr>
                <w:b/>
                <w:color w:val="1F4E79"/>
                <w:sz w:val="18"/>
              </w:rPr>
              <w:t>Workforce Virtualization</w:t>
            </w:r>
          </w:p>
          <w:p w14:paraId="21D91697" w14:textId="77777777" w:rsidR="00626BD8" w:rsidRDefault="00000000">
            <w:pPr>
              <w:spacing w:after="20"/>
            </w:pPr>
            <w:r>
              <w:rPr>
                <w:sz w:val="17"/>
              </w:rPr>
              <w:t>Travel demand and residential-choice effects.</w:t>
            </w:r>
          </w:p>
        </w:tc>
        <w:tc>
          <w:tcPr>
            <w:tcW w:w="4752" w:type="dxa"/>
            <w:tcMar>
              <w:top w:w="55" w:type="dxa"/>
              <w:left w:w="75" w:type="dxa"/>
              <w:bottom w:w="55" w:type="dxa"/>
              <w:right w:w="75" w:type="dxa"/>
            </w:tcMar>
            <w:vAlign w:val="center"/>
          </w:tcPr>
          <w:p w14:paraId="20446A9C" w14:textId="77777777" w:rsidR="00626BD8" w:rsidRDefault="00000000">
            <w:pPr>
              <w:spacing w:after="20"/>
            </w:pPr>
            <w:r>
              <w:rPr>
                <w:b/>
                <w:color w:val="1F4E79"/>
                <w:sz w:val="18"/>
              </w:rPr>
              <w:t>Vulnerability Audit</w:t>
            </w:r>
          </w:p>
          <w:p w14:paraId="7BBAAEA5" w14:textId="77777777" w:rsidR="00626BD8" w:rsidRDefault="00000000">
            <w:pPr>
              <w:spacing w:after="20"/>
            </w:pPr>
            <w:r>
              <w:rPr>
                <w:sz w:val="17"/>
              </w:rPr>
              <w:t>Risk, disrupted corridors and continuity access.</w:t>
            </w:r>
          </w:p>
        </w:tc>
        <w:tc>
          <w:tcPr>
            <w:tcW w:w="4752" w:type="dxa"/>
            <w:tcMar>
              <w:top w:w="55" w:type="dxa"/>
              <w:left w:w="75" w:type="dxa"/>
              <w:bottom w:w="55" w:type="dxa"/>
              <w:right w:w="75" w:type="dxa"/>
            </w:tcMar>
            <w:vAlign w:val="center"/>
          </w:tcPr>
          <w:p w14:paraId="43CAF730" w14:textId="77777777" w:rsidR="00626BD8" w:rsidRDefault="00000000">
            <w:pPr>
              <w:spacing w:after="20"/>
            </w:pPr>
            <w:r>
              <w:rPr>
                <w:b/>
                <w:color w:val="1F4E79"/>
                <w:sz w:val="18"/>
              </w:rPr>
              <w:t>e-Consensus</w:t>
            </w:r>
          </w:p>
          <w:p w14:paraId="5C79C108" w14:textId="77777777" w:rsidR="00626BD8" w:rsidRDefault="00000000">
            <w:pPr>
              <w:spacing w:after="20"/>
            </w:pPr>
            <w:r>
              <w:rPr>
                <w:sz w:val="17"/>
              </w:rPr>
              <w:t>Priorities, tradeoffs and policy barriers.</w:t>
            </w:r>
          </w:p>
        </w:tc>
      </w:tr>
      <w:tr w:rsidR="00626BD8" w14:paraId="3434893B" w14:textId="77777777">
        <w:trPr>
          <w:jc w:val="center"/>
        </w:trPr>
        <w:tc>
          <w:tcPr>
            <w:tcW w:w="4752" w:type="dxa"/>
            <w:tcMar>
              <w:top w:w="55" w:type="dxa"/>
              <w:left w:w="75" w:type="dxa"/>
              <w:bottom w:w="55" w:type="dxa"/>
              <w:right w:w="75" w:type="dxa"/>
            </w:tcMar>
            <w:vAlign w:val="center"/>
          </w:tcPr>
          <w:p w14:paraId="038BB147" w14:textId="77777777" w:rsidR="00626BD8" w:rsidRDefault="00000000">
            <w:pPr>
              <w:spacing w:after="20"/>
            </w:pPr>
            <w:r>
              <w:rPr>
                <w:b/>
                <w:color w:val="1F4E79"/>
                <w:sz w:val="18"/>
              </w:rPr>
              <w:t>Visioning</w:t>
            </w:r>
          </w:p>
          <w:p w14:paraId="211CA4CC" w14:textId="77777777" w:rsidR="00626BD8" w:rsidRDefault="00000000">
            <w:pPr>
              <w:spacing w:after="20"/>
            </w:pPr>
            <w:r>
              <w:rPr>
                <w:sz w:val="17"/>
              </w:rPr>
              <w:t>Aligns mobility with Community Vision and identity.</w:t>
            </w:r>
          </w:p>
        </w:tc>
        <w:tc>
          <w:tcPr>
            <w:tcW w:w="4752" w:type="dxa"/>
            <w:tcMar>
              <w:top w:w="55" w:type="dxa"/>
              <w:left w:w="75" w:type="dxa"/>
              <w:bottom w:w="55" w:type="dxa"/>
              <w:right w:w="75" w:type="dxa"/>
            </w:tcMar>
            <w:vAlign w:val="center"/>
          </w:tcPr>
          <w:p w14:paraId="62EADBD5" w14:textId="77777777" w:rsidR="00626BD8" w:rsidRDefault="00000000">
            <w:pPr>
              <w:spacing w:after="20"/>
            </w:pPr>
            <w:r>
              <w:rPr>
                <w:b/>
                <w:color w:val="1F4E79"/>
                <w:sz w:val="18"/>
              </w:rPr>
              <w:t>Community Alliance</w:t>
            </w:r>
          </w:p>
          <w:p w14:paraId="67005D48" w14:textId="77777777" w:rsidR="00626BD8" w:rsidRDefault="00000000">
            <w:pPr>
              <w:spacing w:after="20"/>
            </w:pPr>
            <w:r>
              <w:rPr>
                <w:sz w:val="17"/>
              </w:rPr>
              <w:t>Technology, policy and precedent knowledge.</w:t>
            </w:r>
          </w:p>
        </w:tc>
        <w:tc>
          <w:tcPr>
            <w:tcW w:w="4752" w:type="dxa"/>
            <w:tcMar>
              <w:top w:w="55" w:type="dxa"/>
              <w:left w:w="75" w:type="dxa"/>
              <w:bottom w:w="55" w:type="dxa"/>
              <w:right w:w="75" w:type="dxa"/>
            </w:tcMar>
            <w:vAlign w:val="center"/>
          </w:tcPr>
          <w:p w14:paraId="14078A5F" w14:textId="77777777" w:rsidR="00626BD8" w:rsidRDefault="00000000">
            <w:pPr>
              <w:spacing w:after="20"/>
            </w:pPr>
            <w:r>
              <w:rPr>
                <w:b/>
                <w:color w:val="1F4E79"/>
                <w:sz w:val="18"/>
              </w:rPr>
              <w:t>Governance</w:t>
            </w:r>
          </w:p>
          <w:p w14:paraId="0054119E" w14:textId="77777777" w:rsidR="00626BD8" w:rsidRDefault="00000000">
            <w:pPr>
              <w:spacing w:after="20"/>
            </w:pPr>
            <w:r>
              <w:rPr>
                <w:sz w:val="17"/>
              </w:rPr>
              <w:t>Stewardship, expert review and accountability.</w:t>
            </w:r>
          </w:p>
        </w:tc>
      </w:tr>
    </w:tbl>
    <w:p w14:paraId="5E816411" w14:textId="77777777" w:rsidR="00626BD8" w:rsidRDefault="00000000">
      <w:pPr>
        <w:spacing w:before="80" w:after="40"/>
      </w:pPr>
      <w:r>
        <w:rPr>
          <w:b/>
        </w:rPr>
        <w:t>XV. STRATEGIC SUMMARY</w:t>
      </w:r>
    </w:p>
    <w:p w14:paraId="24E8BAEA" w14:textId="77777777" w:rsidR="00626BD8" w:rsidRDefault="00000000">
      <w:pPr>
        <w:spacing w:after="60"/>
      </w:pPr>
      <w:r>
        <w:t>Regional Transit is the IAC's physical-access strategy for people, goods and opportunity. It supports five interlocking functions - commuting and workforce access, freight and goods movement, tourism and cultural exchange, emergency and continuity mobility, and IAC integration - so Lifestyle Viability and Freedom of Residential Choice become practical across a distributed regional economy. Virtualization reduces unnecessary movement; Regional Transit makes the remaining movement more purposeful, reliable, resilient and connected.</w:t>
      </w:r>
    </w:p>
    <w:p w14:paraId="0F577B94" w14:textId="77777777" w:rsidR="00626BD8" w:rsidRDefault="00000000">
      <w:pPr>
        <w:spacing w:before="140"/>
        <w:jc w:val="center"/>
      </w:pPr>
      <w:r>
        <w:rPr>
          <w:b/>
        </w:rPr>
        <w:t>THE FIVE FUNCTIONS AT A GLANCE</w:t>
      </w:r>
    </w:p>
    <w:tbl>
      <w:tblPr>
        <w:tblW w:w="0" w:type="auto"/>
        <w:tblLayout w:type="fixed"/>
        <w:tblLook w:val="04A0" w:firstRow="1" w:lastRow="0" w:firstColumn="1" w:lastColumn="0" w:noHBand="0" w:noVBand="1"/>
      </w:tblPr>
      <w:tblGrid>
        <w:gridCol w:w="4752"/>
        <w:gridCol w:w="4752"/>
        <w:gridCol w:w="8928"/>
      </w:tblGrid>
      <w:tr w:rsidR="00626BD8" w14:paraId="48EE3D96" w14:textId="77777777">
        <w:tc>
          <w:tcPr>
            <w:tcW w:w="4752" w:type="dxa"/>
            <w:shd w:val="clear" w:color="auto" w:fill="1F4E79"/>
            <w:vAlign w:val="center"/>
          </w:tcPr>
          <w:p w14:paraId="2A2C84B4" w14:textId="77777777" w:rsidR="00626BD8" w:rsidRDefault="00000000">
            <w:pPr>
              <w:jc w:val="center"/>
            </w:pPr>
            <w:r>
              <w:rPr>
                <w:b/>
                <w:color w:val="FFFFFF"/>
              </w:rPr>
              <w:t>Function</w:t>
            </w:r>
          </w:p>
        </w:tc>
        <w:tc>
          <w:tcPr>
            <w:tcW w:w="4752" w:type="dxa"/>
            <w:shd w:val="clear" w:color="auto" w:fill="1F4E79"/>
            <w:vAlign w:val="center"/>
          </w:tcPr>
          <w:p w14:paraId="08EBC01D" w14:textId="77777777" w:rsidR="00626BD8" w:rsidRDefault="00000000">
            <w:pPr>
              <w:jc w:val="center"/>
            </w:pPr>
            <w:r>
              <w:rPr>
                <w:b/>
                <w:color w:val="FFFFFF"/>
              </w:rPr>
              <w:t>Moves</w:t>
            </w:r>
          </w:p>
        </w:tc>
        <w:tc>
          <w:tcPr>
            <w:tcW w:w="4752" w:type="dxa"/>
            <w:shd w:val="clear" w:color="auto" w:fill="1F4E79"/>
            <w:vAlign w:val="center"/>
          </w:tcPr>
          <w:p w14:paraId="5735E064" w14:textId="77777777" w:rsidR="00626BD8" w:rsidRDefault="00000000">
            <w:pPr>
              <w:jc w:val="center"/>
            </w:pPr>
            <w:r>
              <w:rPr>
                <w:b/>
                <w:color w:val="FFFFFF"/>
              </w:rPr>
              <w:t>Why It Matters</w:t>
            </w:r>
          </w:p>
        </w:tc>
      </w:tr>
      <w:tr w:rsidR="00626BD8" w14:paraId="75AD1E55" w14:textId="77777777">
        <w:tc>
          <w:tcPr>
            <w:tcW w:w="3168" w:type="dxa"/>
            <w:vAlign w:val="center"/>
          </w:tcPr>
          <w:p w14:paraId="76BD747D" w14:textId="77777777" w:rsidR="00626BD8" w:rsidRDefault="00000000">
            <w:pPr>
              <w:spacing w:before="20" w:after="20"/>
            </w:pPr>
            <w:r>
              <w:rPr>
                <w:b/>
                <w:color w:val="1F4E79"/>
                <w:sz w:val="19"/>
              </w:rPr>
              <w:t>Commuting &amp; Workforce</w:t>
            </w:r>
          </w:p>
        </w:tc>
        <w:tc>
          <w:tcPr>
            <w:tcW w:w="2232" w:type="dxa"/>
            <w:vAlign w:val="center"/>
          </w:tcPr>
          <w:p w14:paraId="5D2AC6CF" w14:textId="77777777" w:rsidR="00626BD8" w:rsidRDefault="00000000">
            <w:pPr>
              <w:spacing w:before="20" w:after="20"/>
              <w:jc w:val="center"/>
            </w:pPr>
            <w:r>
              <w:rPr>
                <w:sz w:val="19"/>
              </w:rPr>
              <w:t>People</w:t>
            </w:r>
          </w:p>
        </w:tc>
        <w:tc>
          <w:tcPr>
            <w:tcW w:w="8928" w:type="dxa"/>
            <w:vAlign w:val="center"/>
          </w:tcPr>
          <w:p w14:paraId="4D19E683" w14:textId="77777777" w:rsidR="00626BD8" w:rsidRDefault="00000000">
            <w:pPr>
              <w:spacing w:before="20" w:after="20"/>
            </w:pPr>
            <w:r>
              <w:rPr>
                <w:sz w:val="19"/>
              </w:rPr>
              <w:t>Connect workers to jobs, training, TeleCenters, meetings and services while WVP reduces unnecessary daily trips.</w:t>
            </w:r>
          </w:p>
        </w:tc>
      </w:tr>
      <w:tr w:rsidR="00626BD8" w14:paraId="2DB56558" w14:textId="77777777">
        <w:tc>
          <w:tcPr>
            <w:tcW w:w="3168" w:type="dxa"/>
            <w:vAlign w:val="center"/>
          </w:tcPr>
          <w:p w14:paraId="0D718E8E" w14:textId="77777777" w:rsidR="00626BD8" w:rsidRDefault="00000000">
            <w:pPr>
              <w:spacing w:before="20" w:after="20"/>
            </w:pPr>
            <w:r>
              <w:rPr>
                <w:b/>
                <w:color w:val="1F4E79"/>
                <w:sz w:val="19"/>
              </w:rPr>
              <w:t>Freight &amp; Goods</w:t>
            </w:r>
          </w:p>
        </w:tc>
        <w:tc>
          <w:tcPr>
            <w:tcW w:w="2232" w:type="dxa"/>
            <w:vAlign w:val="center"/>
          </w:tcPr>
          <w:p w14:paraId="587691CF" w14:textId="77777777" w:rsidR="00626BD8" w:rsidRDefault="00000000">
            <w:pPr>
              <w:spacing w:before="20" w:after="20"/>
              <w:jc w:val="center"/>
            </w:pPr>
            <w:r>
              <w:rPr>
                <w:sz w:val="19"/>
              </w:rPr>
              <w:t>Products</w:t>
            </w:r>
          </w:p>
        </w:tc>
        <w:tc>
          <w:tcPr>
            <w:tcW w:w="8928" w:type="dxa"/>
            <w:vAlign w:val="center"/>
          </w:tcPr>
          <w:p w14:paraId="57C4A331" w14:textId="77777777" w:rsidR="00626BD8" w:rsidRDefault="00000000">
            <w:pPr>
              <w:spacing w:before="20" w:after="20"/>
            </w:pPr>
            <w:r>
              <w:rPr>
                <w:sz w:val="19"/>
              </w:rPr>
              <w:t>Connect farms, manufacturers, retailers, health systems and households to distribution, rail, highways, airports and last-mile delivery.</w:t>
            </w:r>
          </w:p>
        </w:tc>
      </w:tr>
      <w:tr w:rsidR="00626BD8" w14:paraId="1163B45B" w14:textId="77777777">
        <w:tc>
          <w:tcPr>
            <w:tcW w:w="3168" w:type="dxa"/>
            <w:vAlign w:val="center"/>
          </w:tcPr>
          <w:p w14:paraId="22FDB2F1" w14:textId="77777777" w:rsidR="00626BD8" w:rsidRDefault="00000000">
            <w:r>
              <w:rPr>
                <w:b/>
                <w:color w:val="1F4E79"/>
                <w:sz w:val="19"/>
              </w:rPr>
              <w:t>Tourism &amp; Cultural Exchange</w:t>
            </w:r>
          </w:p>
        </w:tc>
        <w:tc>
          <w:tcPr>
            <w:tcW w:w="2232" w:type="dxa"/>
            <w:vAlign w:val="center"/>
          </w:tcPr>
          <w:p w14:paraId="79C69672" w14:textId="77777777" w:rsidR="00626BD8" w:rsidRDefault="00000000">
            <w:r>
              <w:rPr>
                <w:sz w:val="19"/>
              </w:rPr>
              <w:t>Visitors + residents</w:t>
            </w:r>
          </w:p>
        </w:tc>
        <w:tc>
          <w:tcPr>
            <w:tcW w:w="8928" w:type="dxa"/>
            <w:vAlign w:val="center"/>
          </w:tcPr>
          <w:p w14:paraId="52869DE1" w14:textId="77777777" w:rsidR="00626BD8" w:rsidRDefault="00000000">
            <w:r>
              <w:rPr>
                <w:sz w:val="19"/>
              </w:rPr>
              <w:t>Connect 500+ festivals and local events, recreation, culture, sports and distinctive Communities into tour circuits that expand visitor spending and urban-rural interaction.</w:t>
            </w:r>
          </w:p>
        </w:tc>
      </w:tr>
      <w:tr w:rsidR="00626BD8" w14:paraId="4A787476" w14:textId="77777777">
        <w:tc>
          <w:tcPr>
            <w:tcW w:w="3168" w:type="dxa"/>
            <w:vAlign w:val="center"/>
          </w:tcPr>
          <w:p w14:paraId="390AC4F3" w14:textId="77777777" w:rsidR="00626BD8" w:rsidRDefault="00000000">
            <w:r>
              <w:rPr>
                <w:b/>
                <w:color w:val="1F4E79"/>
                <w:sz w:val="19"/>
              </w:rPr>
              <w:t>Emergency &amp; Continuity</w:t>
            </w:r>
          </w:p>
        </w:tc>
        <w:tc>
          <w:tcPr>
            <w:tcW w:w="2232" w:type="dxa"/>
            <w:vAlign w:val="center"/>
          </w:tcPr>
          <w:p w14:paraId="6D327976" w14:textId="77777777" w:rsidR="00626BD8" w:rsidRDefault="00000000">
            <w:r>
              <w:rPr>
                <w:sz w:val="19"/>
              </w:rPr>
              <w:t>Critical people + supplies</w:t>
            </w:r>
          </w:p>
        </w:tc>
        <w:tc>
          <w:tcPr>
            <w:tcW w:w="8928" w:type="dxa"/>
            <w:vAlign w:val="center"/>
          </w:tcPr>
          <w:p w14:paraId="446AA63E" w14:textId="77777777" w:rsidR="00626BD8" w:rsidRDefault="00000000">
            <w:r>
              <w:rPr>
                <w:sz w:val="19"/>
              </w:rPr>
              <w:t>Support hospital runs, emergency personnel, repair crews, replacement parts, medical supplies and continuity-worker access during severe weather or other disruptions.</w:t>
            </w:r>
          </w:p>
        </w:tc>
      </w:tr>
      <w:tr w:rsidR="00626BD8" w14:paraId="4E64A5F4" w14:textId="77777777">
        <w:tc>
          <w:tcPr>
            <w:tcW w:w="3168" w:type="dxa"/>
            <w:vAlign w:val="center"/>
          </w:tcPr>
          <w:p w14:paraId="0A18A7D7" w14:textId="77777777" w:rsidR="00626BD8" w:rsidRDefault="00000000">
            <w:r>
              <w:rPr>
                <w:b/>
                <w:color w:val="1F4E79"/>
                <w:sz w:val="19"/>
              </w:rPr>
              <w:t>IAC Integration</w:t>
            </w:r>
          </w:p>
        </w:tc>
        <w:tc>
          <w:tcPr>
            <w:tcW w:w="2232" w:type="dxa"/>
            <w:vAlign w:val="center"/>
          </w:tcPr>
          <w:p w14:paraId="6EEB95D4" w14:textId="77777777" w:rsidR="00626BD8" w:rsidRDefault="00000000">
            <w:r>
              <w:rPr>
                <w:sz w:val="19"/>
              </w:rPr>
              <w:t>Information + coordination</w:t>
            </w:r>
          </w:p>
        </w:tc>
        <w:tc>
          <w:tcPr>
            <w:tcW w:w="8928" w:type="dxa"/>
            <w:vAlign w:val="center"/>
          </w:tcPr>
          <w:p w14:paraId="5EDFE518" w14:textId="77777777" w:rsidR="00626BD8" w:rsidRDefault="00000000">
            <w:r>
              <w:rPr>
                <w:sz w:val="19"/>
              </w:rPr>
              <w:t xml:space="preserve">Link the Lens, TeleCenters, Viability, WVP, Vulnerability Audit, e-Consensus, Boards, MPOs and partners into </w:t>
            </w:r>
            <w:r>
              <w:rPr>
                <w:sz w:val="19"/>
              </w:rPr>
              <w:lastRenderedPageBreak/>
              <w:t>one coordinated mobility strategy.</w:t>
            </w:r>
          </w:p>
        </w:tc>
      </w:tr>
    </w:tbl>
    <w:p w14:paraId="063F727D" w14:textId="77777777" w:rsidR="00626BD8" w:rsidRDefault="00000000">
      <w:pPr>
        <w:spacing w:before="160" w:after="20"/>
      </w:pPr>
      <w:r>
        <w:lastRenderedPageBreak/>
        <w:t>TransitX / Podway may become an important advanced technology within that system where evidence supports it. The IAC contribution is larger: a Community-centered framework for deciding where mobility is needed, what form it should take, who must participate, how it should be funded, and how results should be measured.</w:t>
      </w:r>
    </w:p>
    <w:p w14:paraId="4B17C7A7" w14:textId="77777777" w:rsidR="00626BD8" w:rsidRDefault="00000000">
      <w:pPr>
        <w:spacing w:before="160" w:after="20"/>
        <w:jc w:val="center"/>
      </w:pPr>
      <w:r>
        <w:rPr>
          <w:b/>
          <w:color w:val="1F4E79"/>
          <w:sz w:val="26"/>
        </w:rPr>
        <w:t>Strong Identity. Open Community. Freedom to Choose. Connected by the IAC.</w:t>
      </w:r>
    </w:p>
    <w:sectPr w:rsidR="00626BD8" w:rsidSect="00034616">
      <w:footerReference w:type="default" r:id="rId9"/>
      <w:pgSz w:w="15840" w:h="12240" w:orient="landscape"/>
      <w:pgMar w:top="504" w:right="792" w:bottom="504"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E74EED" w14:textId="77777777" w:rsidR="00BE5FF9" w:rsidRDefault="00BE5FF9">
      <w:pPr>
        <w:spacing w:after="0"/>
      </w:pPr>
      <w:r>
        <w:separator/>
      </w:r>
    </w:p>
  </w:endnote>
  <w:endnote w:type="continuationSeparator" w:id="0">
    <w:p w14:paraId="4A0C8783" w14:textId="77777777" w:rsidR="00BE5FF9" w:rsidRDefault="00BE5FF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A79BA" w14:textId="77777777" w:rsidR="00626BD8" w:rsidRDefault="00000000">
    <w:pPr>
      <w:pStyle w:val="Footer"/>
      <w:jc w:val="center"/>
    </w:pPr>
    <w:r>
      <w:rPr>
        <w:color w:val="5A5A5A"/>
        <w:sz w:val="16"/>
      </w:rPr>
      <w:t xml:space="preserve">© 2026 Tele-Commuter Resources, Inc. | Information Age Community | </w:t>
    </w:r>
    <w:r>
      <w:fldChar w:fldCharType="begin"/>
    </w:r>
    <w:r>
      <w:instrText>PAGE</w:instrText>
    </w:r>
    <w:r>
      <w:fldChar w:fldCharType="separate"/>
    </w:r>
    <w:r w:rsidR="00AC41F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5C3715" w14:textId="77777777" w:rsidR="00BE5FF9" w:rsidRDefault="00BE5FF9">
      <w:pPr>
        <w:spacing w:after="0"/>
      </w:pPr>
      <w:r>
        <w:separator/>
      </w:r>
    </w:p>
  </w:footnote>
  <w:footnote w:type="continuationSeparator" w:id="0">
    <w:p w14:paraId="0ABC3FEA" w14:textId="77777777" w:rsidR="00BE5FF9" w:rsidRDefault="00BE5FF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5302008">
    <w:abstractNumId w:val="8"/>
  </w:num>
  <w:num w:numId="2" w16cid:durableId="720980713">
    <w:abstractNumId w:val="6"/>
  </w:num>
  <w:num w:numId="3" w16cid:durableId="530653142">
    <w:abstractNumId w:val="5"/>
  </w:num>
  <w:num w:numId="4" w16cid:durableId="271327939">
    <w:abstractNumId w:val="4"/>
  </w:num>
  <w:num w:numId="5" w16cid:durableId="75640575">
    <w:abstractNumId w:val="7"/>
  </w:num>
  <w:num w:numId="6" w16cid:durableId="1289624408">
    <w:abstractNumId w:val="3"/>
  </w:num>
  <w:num w:numId="7" w16cid:durableId="1084303089">
    <w:abstractNumId w:val="2"/>
  </w:num>
  <w:num w:numId="8" w16cid:durableId="1896814169">
    <w:abstractNumId w:val="1"/>
  </w:num>
  <w:num w:numId="9" w16cid:durableId="1277559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6BD8"/>
    <w:rsid w:val="009547B2"/>
    <w:rsid w:val="00AA1D8D"/>
    <w:rsid w:val="00AC41FE"/>
    <w:rsid w:val="00B47730"/>
    <w:rsid w:val="00BE5FF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CE3F15"/>
  <w14:defaultImageDpi w14:val="300"/>
  <w15:docId w15:val="{F7932D44-9D86-4638-AA90-55B9B7F85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2978</Words>
  <Characters>16980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Sanger</cp:lastModifiedBy>
  <cp:revision>2</cp:revision>
  <dcterms:created xsi:type="dcterms:W3CDTF">2013-12-23T23:15:00Z</dcterms:created>
  <dcterms:modified xsi:type="dcterms:W3CDTF">2026-08-22T19:00:00Z</dcterms:modified>
  <cp:category/>
</cp:coreProperties>
</file>