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Times New Roman" w:hAnsi="Times New Roman"/>
          <w:b/>
          <w:color w:val="173F73"/>
          <w:sz w:val="46"/>
        </w:rPr>
        <w:t>THE IAC TELECENTER</w:t>
      </w:r>
    </w:p>
    <w:p>
      <w:pPr>
        <w:spacing w:after="140"/>
        <w:jc w:val="center"/>
      </w:pPr>
      <w:r>
        <w:rPr>
          <w:rFonts w:ascii="Times New Roman" w:hAnsi="Times New Roman"/>
          <w:b/>
          <w:i/>
          <w:color w:val="245A92"/>
          <w:sz w:val="27"/>
        </w:rPr>
        <w:t>The Community’s Physical and Operating Home</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939"/>
        <w:gridCol w:w="4939"/>
      </w:tblGrid>
      <w:tr>
        <w:tc>
          <w:tcPr>
            <w:tcW w:type="dxa" w:w="6552"/>
            <w:vAlign w:val="center"/>
            <w:tcMar>
              <w:top w:w="120" w:type="dxa"/>
              <w:start w:w="180" w:type="dxa"/>
              <w:bottom w:w="120" w:type="dxa"/>
              <w:end w:w="180" w:type="dxa"/>
            </w:tcMar>
            <w:shd w:fill="F5F8FC"/>
          </w:tcPr>
          <w:p>
            <w:pPr>
              <w:spacing w:after="60"/>
            </w:pPr>
            <w:r>
              <w:rPr>
                <w:rFonts w:ascii="Times New Roman" w:hAnsi="Times New Roman"/>
                <w:b/>
                <w:color w:val="B88324"/>
                <w:sz w:val="22"/>
              </w:rPr>
              <w:t>AT A GLANCE</w:t>
            </w:r>
          </w:p>
          <w:p>
            <w:pPr>
              <w:spacing w:before="40" w:after="20"/>
            </w:pPr>
            <w:r>
              <w:rPr>
                <w:rFonts w:ascii="Times New Roman" w:hAnsi="Times New Roman"/>
                <w:b/>
                <w:color w:val="173F73"/>
                <w:sz w:val="20"/>
              </w:rPr>
              <w:t>PURPOSE</w:t>
            </w:r>
          </w:p>
          <w:p>
            <w:pPr>
              <w:spacing w:after="60" w:line="240" w:lineRule="auto"/>
            </w:pPr>
            <w:r>
              <w:rPr>
                <w:rFonts w:ascii="Times New Roman" w:hAnsi="Times New Roman"/>
                <w:sz w:val="20"/>
              </w:rPr>
              <w:t>Turn Community priorities into coordinated, practical action through a locally managed physical and operating presence.</w:t>
            </w:r>
          </w:p>
          <w:p>
            <w:pPr>
              <w:spacing w:before="40" w:after="20"/>
            </w:pPr>
            <w:r>
              <w:rPr>
                <w:rFonts w:ascii="Times New Roman" w:hAnsi="Times New Roman"/>
                <w:b/>
                <w:color w:val="173F73"/>
                <w:sz w:val="20"/>
              </w:rPr>
              <w:t>THE CORE IDEA</w:t>
            </w:r>
          </w:p>
          <w:p>
            <w:pPr>
              <w:spacing w:after="60" w:line="240" w:lineRule="auto"/>
            </w:pPr>
            <w:r>
              <w:rPr>
                <w:rFonts w:ascii="Times New Roman" w:hAnsi="Times New Roman"/>
                <w:sz w:val="20"/>
              </w:rPr>
              <w:t>Virtualize what can be virtualized. Distribute what must remain physical. Coordinate both through the IAC network. Keep the Community in control of its own direction.</w:t>
            </w:r>
          </w:p>
          <w:p>
            <w:pPr>
              <w:spacing w:before="40" w:after="20"/>
            </w:pPr>
            <w:r>
              <w:rPr>
                <w:rFonts w:ascii="Times New Roman" w:hAnsi="Times New Roman"/>
                <w:b/>
                <w:color w:val="173F73"/>
                <w:sz w:val="20"/>
              </w:rPr>
              <w:t>WHAT IT DOES</w:t>
            </w:r>
          </w:p>
          <w:p>
            <w:pPr>
              <w:spacing w:after="60" w:line="240" w:lineRule="auto"/>
            </w:pPr>
            <w:r>
              <w:rPr>
                <w:rFonts w:ascii="Times New Roman" w:hAnsi="Times New Roman"/>
                <w:sz w:val="20"/>
              </w:rPr>
              <w:t>Connects residents to services, technology, training, facilities, volunteers, providers, equipment, and implementation support—while extending selected capabilities into Small Towns and neighborhoods.</w:t>
            </w:r>
          </w:p>
          <w:p>
            <w:pPr>
              <w:spacing w:before="40" w:after="20"/>
            </w:pPr>
            <w:r>
              <w:rPr>
                <w:rFonts w:ascii="Times New Roman" w:hAnsi="Times New Roman"/>
                <w:b/>
                <w:color w:val="173F73"/>
                <w:sz w:val="20"/>
              </w:rPr>
              <w:t>WHY IT MATTERS</w:t>
            </w:r>
          </w:p>
          <w:p>
            <w:pPr>
              <w:spacing w:after="60" w:line="240" w:lineRule="auto"/>
            </w:pPr>
            <w:r>
              <w:rPr>
                <w:rFonts w:ascii="Times New Roman" w:hAnsi="Times New Roman"/>
                <w:sz w:val="20"/>
              </w:rPr>
              <w:t>The Community Board establishes priorities and stewards the Community relationship. The TeleCenter gives those decisions an operating home and a practical way to mobilize people, providers, technology, and resources.</w:t>
            </w:r>
          </w:p>
        </w:tc>
        <w:tc>
          <w:tcPr>
            <w:tcW w:type="dxa" w:w="7416"/>
            <w:vAlign w:val="center"/>
            <w:tcMar>
              <w:top w:w="60" w:type="dxa"/>
              <w:start w:w="100" w:type="dxa"/>
              <w:bottom w:w="60" w:type="dxa"/>
              <w:end w:w="100" w:type="dxa"/>
            </w:tcMar>
          </w:tcPr>
          <w:p>
            <w:pPr>
              <w:jc w:val="center"/>
            </w:pPr>
            <w:r>
              <w:drawing>
                <wp:inline xmlns:a="http://schemas.openxmlformats.org/drawingml/2006/main" xmlns:pic="http://schemas.openxmlformats.org/drawingml/2006/picture">
                  <wp:extent cx="3642499" cy="4709160"/>
                  <wp:docPr id="1" name="Picture 1"/>
                  <wp:cNvGraphicFramePr>
                    <a:graphicFrameLocks noChangeAspect="1"/>
                  </wp:cNvGraphicFramePr>
                  <a:graphic>
                    <a:graphicData uri="http://schemas.openxmlformats.org/drawingml/2006/picture">
                      <pic:pic>
                        <pic:nvPicPr>
                          <pic:cNvPr id="0" name="IAC_TeleCenter_Annual_Process_Graphic.png"/>
                          <pic:cNvPicPr/>
                        </pic:nvPicPr>
                        <pic:blipFill>
                          <a:blip r:embed="rId10"/>
                          <a:stretch>
                            <a:fillRect/>
                          </a:stretch>
                        </pic:blipFill>
                        <pic:spPr>
                          <a:xfrm>
                            <a:off x="0" y="0"/>
                            <a:ext cx="3642499" cy="4709160"/>
                          </a:xfrm>
                          <a:prstGeom prst="rect"/>
                        </pic:spPr>
                      </pic:pic>
                    </a:graphicData>
                  </a:graphic>
                </wp:inline>
              </w:drawing>
            </w:r>
          </w:p>
        </w:tc>
      </w:tr>
    </w:tbl>
    <w:p>
      <w:pPr>
        <w:spacing w:before="80" w:after="0"/>
        <w:jc w:val="center"/>
      </w:pPr>
      <w:r>
        <w:rPr>
          <w:rFonts w:ascii="Times New Roman" w:hAnsi="Times New Roman"/>
          <w:b/>
          <w:color w:val="173F73"/>
          <w:sz w:val="20"/>
        </w:rPr>
        <w:t>COMMUNITY PRIORITIES  →  LOCAL ACCESS  →  COORDINATED IMPLEMENTATION</w:t>
      </w:r>
    </w:p>
    <w:p>
      <w:r>
        <w:br w:type="page"/>
      </w:r>
    </w:p>
    <w:p>
      <w:pPr>
        <w:pStyle w:val="Heading1"/>
        <w:widowControl/>
      </w:pPr>
      <w:r>
        <w:t>I. THE COMMUNITY</w:t>
      </w:r>
    </w:p>
    <w:p>
      <w:pPr>
        <w:pStyle w:val="Heading2"/>
        <w:widowControl/>
      </w:pPr>
      <w:r>
        <w:t>A. The Community</w:t>
      </w:r>
    </w:p>
    <w:p>
      <w:pPr>
        <w:widowControl/>
      </w:pPr>
      <w:r>
        <w:rPr>
          <w:rFonts w:ascii="Times New Roman" w:hAnsi="Times New Roman"/>
          <w:i w:val="0"/>
          <w:sz w:val="22"/>
        </w:rPr>
        <w:t>The Community is the smallest viable Community entity within the Information Age Community. It is the scale at which residents can establish a shared Vision, evaluate Community conditions, determine service needs, express priorities, develop projects, coordinate resources, and act collectively.</w:t>
      </w:r>
    </w:p>
    <w:p>
      <w:pPr>
        <w:widowControl/>
      </w:pPr>
      <w:r>
        <w:rPr>
          <w:rFonts w:ascii="Times New Roman" w:hAnsi="Times New Roman"/>
          <w:i w:val="0"/>
          <w:sz w:val="22"/>
        </w:rPr>
        <w:t>Its parts retain their individual identities while participating in a larger relationship based upon mutual viability.</w:t>
      </w:r>
    </w:p>
    <w:p>
      <w:pPr>
        <w:pStyle w:val="CompactNumbered"/>
        <w:widowControl/>
      </w:pPr>
      <w:r>
        <w:rPr>
          <w:rFonts w:ascii="Times New Roman" w:hAnsi="Times New Roman"/>
          <w:b/>
          <w:sz w:val="21"/>
        </w:rPr>
        <w:t>1. The Trade Center — Community Service Hub.</w:t>
      </w:r>
      <w:r>
        <w:rPr>
          <w:rFonts w:ascii="Times New Roman" w:hAnsi="Times New Roman"/>
          <w:sz w:val="21"/>
        </w:rPr>
        <w:t xml:space="preserve"> The principal concentration of everyday services, institutions, employment, commerce, healthcare, education, government access, professional capability, and Community support. Its viability depends upon the population, workforce, customers, institutions, and market represented by the entire Community.</w:t>
      </w:r>
    </w:p>
    <w:p>
      <w:pPr>
        <w:pStyle w:val="CompactNumbered"/>
        <w:widowControl/>
      </w:pPr>
      <w:r>
        <w:rPr>
          <w:rFonts w:ascii="Times New Roman" w:hAnsi="Times New Roman"/>
          <w:b/>
          <w:sz w:val="21"/>
        </w:rPr>
        <w:t>2. Small Towns — Distinct Community Neighborhoods.</w:t>
      </w:r>
      <w:r>
        <w:rPr>
          <w:rFonts w:ascii="Times New Roman" w:hAnsi="Times New Roman"/>
          <w:sz w:val="21"/>
        </w:rPr>
        <w:t xml:space="preserve"> Small Towns retain their own history, identity, relationships, businesses, institutions, and Community life while gaining access to services and capabilities that cannot be efficiently sustained independently.</w:t>
      </w:r>
    </w:p>
    <w:p>
      <w:pPr>
        <w:pStyle w:val="CompactNumbered"/>
        <w:widowControl/>
      </w:pPr>
      <w:r>
        <w:rPr>
          <w:rFonts w:ascii="Times New Roman" w:hAnsi="Times New Roman"/>
          <w:b/>
          <w:sz w:val="21"/>
        </w:rPr>
        <w:t>3. Dispersed Households and Rural Areas — Community Reach.</w:t>
      </w:r>
      <w:r>
        <w:rPr>
          <w:rFonts w:ascii="Times New Roman" w:hAnsi="Times New Roman"/>
          <w:sz w:val="21"/>
        </w:rPr>
        <w:t xml:space="preserve"> Farms, cabins, rural residences, and other dispersed households remain part of the Community and gain access through home-first virtualization, broadband, mobility, delivery systems, and TeleCenter support.</w:t>
      </w:r>
    </w:p>
    <w:p>
      <w:pPr>
        <w:pStyle w:val="CompactNumbered"/>
        <w:widowControl/>
      </w:pPr>
      <w:r>
        <w:rPr>
          <w:rFonts w:ascii="Times New Roman" w:hAnsi="Times New Roman"/>
          <w:b/>
          <w:sz w:val="21"/>
        </w:rPr>
        <w:t>4. Neighborhoods — Local Identity and Access.</w:t>
      </w:r>
      <w:r>
        <w:rPr>
          <w:rFonts w:ascii="Times New Roman" w:hAnsi="Times New Roman"/>
          <w:sz w:val="21"/>
        </w:rPr>
        <w:t xml:space="preserve"> Neighborhoods represent the scale closest to residents and provide opportunities for extending selected services, engagement, volunteer activity, and Neighborhood TeleCenter capabilities when need or concentration justifies them.</w:t>
      </w:r>
    </w:p>
    <w:p>
      <w:pPr>
        <w:pStyle w:val="CompactNumbered"/>
        <w:widowControl/>
      </w:pPr>
      <w:r>
        <w:rPr>
          <w:rFonts w:ascii="Times New Roman" w:hAnsi="Times New Roman"/>
          <w:b/>
          <w:sz w:val="21"/>
        </w:rPr>
        <w:t>5. Mutual Viability — The Governing Relationship.</w:t>
      </w:r>
      <w:r>
        <w:rPr>
          <w:rFonts w:ascii="Times New Roman" w:hAnsi="Times New Roman"/>
          <w:sz w:val="21"/>
        </w:rPr>
        <w:t xml:space="preserve"> The Trade Center depends upon the surrounding Community for workforce, customers, students, patients, volunteers, economic activity, and institutional support. Small Towns and dispersed residents depend upon the Trade Center and wider IAC for services and capabilities they cannot efficiently sustain themselves. Strengthening one therefore strengthens the other.</w:t>
      </w:r>
    </w:p>
    <w:p>
      <w:pPr>
        <w:pStyle w:val="Heading2"/>
        <w:widowControl/>
      </w:pPr>
      <w:r>
        <w:t>B. Community Services</w:t>
      </w:r>
    </w:p>
    <w:p>
      <w:pPr>
        <w:widowControl/>
      </w:pPr>
      <w:r>
        <w:rPr>
          <w:rFonts w:ascii="Times New Roman" w:hAnsi="Times New Roman"/>
          <w:i w:val="0"/>
          <w:sz w:val="22"/>
        </w:rPr>
        <w:t>Community viability depends less upon whether every service is physically located in every town than upon whether every resident has reasonable access to the capabilities required for a healthy and attractive life.</w:t>
      </w:r>
    </w:p>
    <w:p>
      <w:pPr>
        <w:widowControl/>
      </w:pPr>
      <w:r>
        <w:rPr>
          <w:rFonts w:ascii="Times New Roman" w:hAnsi="Times New Roman"/>
          <w:i w:val="0"/>
          <w:sz w:val="22"/>
        </w:rPr>
        <w:t>The Community therefore develops a Community Service Profile that identifies what services are needed and the most effective level at which each should be delivered.</w:t>
      </w:r>
    </w:p>
    <w:p>
      <w:pPr>
        <w:pStyle w:val="CompactNumbered"/>
        <w:widowControl/>
      </w:pPr>
      <w:r>
        <w:rPr>
          <w:rFonts w:ascii="Times New Roman" w:hAnsi="Times New Roman"/>
          <w:b/>
          <w:sz w:val="21"/>
        </w:rPr>
        <w:t>1. Home-Based and Virtual Services.</w:t>
      </w:r>
      <w:r>
        <w:rPr>
          <w:rFonts w:ascii="Times New Roman" w:hAnsi="Times New Roman"/>
          <w:sz w:val="21"/>
        </w:rPr>
        <w:t xml:space="preserve"> Employment, education, healthcare consultations, professional services, government transactions, commerce, information, Community participation, and other capabilities should reach the home whenever practical, secure, affordable, and effective.</w:t>
      </w:r>
    </w:p>
    <w:p>
      <w:pPr>
        <w:pStyle w:val="CompactNumbered"/>
        <w:widowControl/>
      </w:pPr>
      <w:r>
        <w:rPr>
          <w:rFonts w:ascii="Times New Roman" w:hAnsi="Times New Roman"/>
          <w:b/>
          <w:sz w:val="21"/>
        </w:rPr>
        <w:t>2. Distributed Community Services.</w:t>
      </w:r>
      <w:r>
        <w:rPr>
          <w:rFonts w:ascii="Times New Roman" w:hAnsi="Times New Roman"/>
          <w:sz w:val="21"/>
        </w:rPr>
        <w:t xml:space="preserve"> Capabilities requiring some physical presence may be distributed through Small Towns, Neighborhood TeleCenters, partner facilities, mobile services, delivery systems, or other local access points.</w:t>
      </w:r>
    </w:p>
    <w:p>
      <w:pPr>
        <w:pStyle w:val="CompactNumbered"/>
        <w:widowControl/>
      </w:pPr>
      <w:r>
        <w:rPr>
          <w:rFonts w:ascii="Times New Roman" w:hAnsi="Times New Roman"/>
          <w:b/>
          <w:sz w:val="21"/>
        </w:rPr>
        <w:t>3. Trade Center Services.</w:t>
      </w:r>
      <w:r>
        <w:rPr>
          <w:rFonts w:ascii="Times New Roman" w:hAnsi="Times New Roman"/>
          <w:sz w:val="21"/>
        </w:rPr>
        <w:t xml:space="preserve"> Services requiring greater population, professional staffing, specialized equipment, facilities, or economies of scale may appropriately be concentrated in the Trade Center.</w:t>
      </w:r>
    </w:p>
    <w:p>
      <w:pPr>
        <w:pStyle w:val="CompactNumbered"/>
        <w:widowControl/>
      </w:pPr>
      <w:r>
        <w:rPr>
          <w:rFonts w:ascii="Times New Roman" w:hAnsi="Times New Roman"/>
          <w:b/>
          <w:sz w:val="21"/>
        </w:rPr>
        <w:t>4. Higher-Level Services.</w:t>
      </w:r>
      <w:r>
        <w:rPr>
          <w:rFonts w:ascii="Times New Roman" w:hAnsi="Times New Roman"/>
          <w:sz w:val="21"/>
        </w:rPr>
        <w:t xml:space="preserve"> Highly specialized capabilities may be accessed through Service Centers, other Communities, or the wider IAC and Global Service Center network.</w:t>
      </w:r>
    </w:p>
    <w:p>
      <w:pPr>
        <w:pStyle w:val="CompactNumbered"/>
        <w:widowControl/>
      </w:pPr>
      <w:r>
        <w:rPr>
          <w:rFonts w:ascii="Times New Roman" w:hAnsi="Times New Roman"/>
          <w:b/>
          <w:sz w:val="21"/>
        </w:rPr>
        <w:t>5. The IAC Service Library.</w:t>
      </w:r>
      <w:r>
        <w:rPr>
          <w:rFonts w:ascii="Times New Roman" w:hAnsi="Times New Roman"/>
          <w:sz w:val="21"/>
        </w:rPr>
        <w:t xml:space="preserve"> The IAC coordinates a growing library of providers, services, curricula, technology, equipment, expertise, programs, and other capabilities. The Community Board selects and adapts those that fit the Community Service Profile and identifies gaps the IAC should recruit or develop.</w:t>
      </w:r>
    </w:p>
    <w:p>
      <w:pPr>
        <w:widowControl/>
      </w:pPr>
      <w:r>
        <w:rPr>
          <w:rFonts w:ascii="Times New Roman" w:hAnsi="Times New Roman"/>
          <w:b/>
          <w:sz w:val="22"/>
        </w:rPr>
        <w:t>The objective is</w:t>
      </w:r>
      <w:r>
        <w:rPr>
          <w:rFonts w:ascii="Times New Roman" w:hAnsi="Times New Roman"/>
          <w:sz w:val="22"/>
        </w:rPr>
        <w:t xml:space="preserve"> access to capability without unnecessary duplication of facilities or institutions.</w:t>
      </w:r>
    </w:p>
    <w:p>
      <w:pPr>
        <w:pStyle w:val="Heading1"/>
        <w:widowControl/>
      </w:pPr>
      <w:r>
        <w:t>II. THE COMMUNITY BOARD</w:t>
      </w:r>
    </w:p>
    <w:p>
      <w:pPr>
        <w:widowControl/>
      </w:pPr>
      <w:r>
        <w:rPr>
          <w:rFonts w:ascii="Times New Roman" w:hAnsi="Times New Roman"/>
          <w:i w:val="0"/>
          <w:sz w:val="22"/>
        </w:rPr>
        <w:t>The Community Board represents and stewards the interests of the entire Community—the Trade Center, Small Towns, neighborhoods, surrounding residents, institutions, businesses, and Community relationships.</w:t>
      </w:r>
    </w:p>
    <w:p>
      <w:pPr>
        <w:widowControl/>
      </w:pPr>
      <w:r>
        <w:rPr>
          <w:rFonts w:ascii="Times New Roman" w:hAnsi="Times New Roman"/>
          <w:i w:val="0"/>
          <w:sz w:val="22"/>
        </w:rPr>
        <w:t>The Community establishes its priorities. The Board facilitates the development of those decisions, responds to them, and acts upon them.</w:t>
      </w:r>
    </w:p>
    <w:p>
      <w:pPr>
        <w:widowControl/>
      </w:pPr>
      <w:r>
        <w:rPr>
          <w:rFonts w:ascii="Times New Roman" w:hAnsi="Times New Roman"/>
          <w:i w:val="0"/>
          <w:sz w:val="22"/>
        </w:rPr>
        <w:t>The Board does not supersede governmental, institutional, or private authority. Formal approvals remain with the organizations legally or organizationally responsible for them. The Board instead provides Community-wide stewardship across boundaries that no single jurisdiction or institution represents.</w:t>
      </w:r>
    </w:p>
    <w:p>
      <w:pPr>
        <w:pStyle w:val="Heading2"/>
        <w:widowControl/>
      </w:pPr>
      <w:r>
        <w:t>A. Representative Structure</w:t>
      </w:r>
    </w:p>
    <w:p>
      <w:pPr>
        <w:widowControl/>
      </w:pPr>
      <w:r>
        <w:rPr>
          <w:rFonts w:ascii="Times New Roman" w:hAnsi="Times New Roman"/>
          <w:i w:val="0"/>
          <w:sz w:val="22"/>
        </w:rPr>
        <w:t>The proposed Board structure is intentionally representative of the entire Community rather than only the Trade Center. Each Small Town would have one representative, while the Trade Center would have three representatives. This gives every constituent Small Town a direct place in Community stewardship while recognizing the Trade Center’s larger service, institutional, and population role. Final representation, selection, terms, eligibility, and fiduciary provisions remain subject to the governing documents and legal review.</w:t>
      </w:r>
    </w:p>
    <w:p>
      <w:pPr>
        <w:pStyle w:val="Heading2"/>
        <w:widowControl/>
      </w:pPr>
      <w:r>
        <w:t>B. Board Responsibilities</w:t>
      </w:r>
    </w:p>
    <w:p>
      <w:pPr>
        <w:pStyle w:val="CompactNumbered"/>
        <w:widowControl/>
      </w:pPr>
      <w:r>
        <w:rPr>
          <w:rFonts w:ascii="Times New Roman" w:hAnsi="Times New Roman"/>
          <w:b/>
          <w:sz w:val="21"/>
        </w:rPr>
        <w:t>1. Facilitates Community Decision-Making.</w:t>
      </w:r>
      <w:r>
        <w:rPr>
          <w:rFonts w:ascii="Times New Roman" w:hAnsi="Times New Roman"/>
          <w:sz w:val="21"/>
        </w:rPr>
        <w:t xml:space="preserve"> Supports informed participation, e-Consensus, Community discussion, issue resolution, and development of documented Community priorities, policies, and Action Plans.</w:t>
      </w:r>
    </w:p>
    <w:p>
      <w:pPr>
        <w:pStyle w:val="CompactNumbered"/>
        <w:widowControl/>
      </w:pPr>
      <w:r>
        <w:rPr>
          <w:rFonts w:ascii="Times New Roman" w:hAnsi="Times New Roman"/>
          <w:b/>
          <w:sz w:val="21"/>
        </w:rPr>
        <w:t>2. Responds to Community Priorities.</w:t>
      </w:r>
      <w:r>
        <w:rPr>
          <w:rFonts w:ascii="Times New Roman" w:hAnsi="Times New Roman"/>
          <w:sz w:val="21"/>
        </w:rPr>
        <w:t xml:space="preserve"> Moves documented priorities toward action by developing projects, relationships, partnerships, resources, and implementation strategies.</w:t>
      </w:r>
    </w:p>
    <w:p>
      <w:pPr>
        <w:pStyle w:val="CompactNumbered"/>
        <w:widowControl/>
      </w:pPr>
      <w:r>
        <w:rPr>
          <w:rFonts w:ascii="Times New Roman" w:hAnsi="Times New Roman"/>
          <w:b/>
          <w:sz w:val="21"/>
        </w:rPr>
        <w:t>3. Stewards the Community Vision.</w:t>
      </w:r>
      <w:r>
        <w:rPr>
          <w:rFonts w:ascii="Times New Roman" w:hAnsi="Times New Roman"/>
          <w:sz w:val="21"/>
        </w:rPr>
        <w:t xml:space="preserve"> Maintains the enduring Community Vision within the broader IAC Vision and coordinates the annual process used to measure progress toward it.</w:t>
      </w:r>
    </w:p>
    <w:p>
      <w:pPr>
        <w:pStyle w:val="CompactNumbered"/>
        <w:widowControl/>
      </w:pPr>
      <w:r>
        <w:rPr>
          <w:rFonts w:ascii="Times New Roman" w:hAnsi="Times New Roman"/>
          <w:b/>
          <w:sz w:val="21"/>
        </w:rPr>
        <w:t>4. Determines the Community Service Profile.</w:t>
      </w:r>
      <w:r>
        <w:rPr>
          <w:rFonts w:ascii="Times New Roman" w:hAnsi="Times New Roman"/>
          <w:sz w:val="21"/>
        </w:rPr>
        <w:t xml:space="preserve"> Identifies the services and capabilities the Community requires, determines the appropriate delivery level, selects and adapts resources from the IAC Service Library, and identifies unmet needs.</w:t>
      </w:r>
    </w:p>
    <w:p>
      <w:pPr>
        <w:pStyle w:val="CompactNumbered"/>
        <w:widowControl/>
      </w:pPr>
      <w:r>
        <w:rPr>
          <w:rFonts w:ascii="Times New Roman" w:hAnsi="Times New Roman"/>
          <w:b/>
          <w:sz w:val="21"/>
        </w:rPr>
        <w:t>5. Uses Viability to Improve Decisions and Investments.</w:t>
      </w:r>
      <w:r>
        <w:rPr>
          <w:rFonts w:ascii="Times New Roman" w:hAnsi="Times New Roman"/>
          <w:sz w:val="21"/>
        </w:rPr>
        <w:t xml:space="preserve"> Applies Community health information, comparative analysis, and project-review capabilities to strengthen proposals and increase Community benefit.</w:t>
      </w:r>
    </w:p>
    <w:p>
      <w:pPr>
        <w:pStyle w:val="CompactNumbered"/>
        <w:widowControl/>
      </w:pPr>
      <w:r>
        <w:rPr>
          <w:rFonts w:ascii="Times New Roman" w:hAnsi="Times New Roman"/>
          <w:b/>
          <w:sz w:val="21"/>
        </w:rPr>
        <w:t>6. Builds Community Relationships.</w:t>
      </w:r>
      <w:r>
        <w:rPr>
          <w:rFonts w:ascii="Times New Roman" w:hAnsi="Times New Roman"/>
          <w:sz w:val="21"/>
        </w:rPr>
        <w:t xml:space="preserve"> Develops working relationships among Small Towns, governments, employers, schools, healthcare providers, nonprofits, professional organizations, funders, service providers, and other partners.</w:t>
      </w:r>
    </w:p>
    <w:p>
      <w:pPr>
        <w:pStyle w:val="CompactNumbered"/>
        <w:widowControl/>
      </w:pPr>
      <w:r>
        <w:rPr>
          <w:rFonts w:ascii="Times New Roman" w:hAnsi="Times New Roman"/>
          <w:b/>
          <w:sz w:val="21"/>
        </w:rPr>
        <w:t>7. Strengthens Community Identity and Market Position.</w:t>
      </w:r>
      <w:r>
        <w:rPr>
          <w:rFonts w:ascii="Times New Roman" w:hAnsi="Times New Roman"/>
          <w:sz w:val="21"/>
        </w:rPr>
        <w:t xml:space="preserve"> Preserves and interprets the history, traditions, assets, institutions, economic heritage, stories, and characteristics that make the Community distinctive and works with the IAC to market it as a desirable place to live.</w:t>
      </w:r>
    </w:p>
    <w:p>
      <w:pPr>
        <w:pStyle w:val="CompactNumbered"/>
        <w:widowControl/>
      </w:pPr>
      <w:r>
        <w:rPr>
          <w:rFonts w:ascii="Times New Roman" w:hAnsi="Times New Roman"/>
          <w:b/>
          <w:sz w:val="21"/>
        </w:rPr>
        <w:t>8. Participates in Consensus Budgeting.</w:t>
      </w:r>
      <w:r>
        <w:rPr>
          <w:rFonts w:ascii="Times New Roman" w:hAnsi="Times New Roman"/>
          <w:sz w:val="21"/>
        </w:rPr>
        <w:t xml:space="preserve"> Reviews IAC-wide priorities, develops Community priorities, and participates in the Annual Budgeting Conference to help align investment and resources.</w:t>
      </w:r>
    </w:p>
    <w:p>
      <w:pPr>
        <w:pStyle w:val="CompactNumbered"/>
        <w:widowControl/>
      </w:pPr>
      <w:r>
        <w:rPr>
          <w:rFonts w:ascii="Times New Roman" w:hAnsi="Times New Roman"/>
          <w:b/>
          <w:sz w:val="21"/>
        </w:rPr>
        <w:t>9. Manages the TeleCenter.</w:t>
      </w:r>
      <w:r>
        <w:rPr>
          <w:rFonts w:ascii="Times New Roman" w:hAnsi="Times New Roman"/>
          <w:sz w:val="21"/>
        </w:rPr>
        <w:t xml:space="preserve"> Establishes operating priorities, service expectations, access requirements, partnerships, Neighborhood TeleCenter extensions, staffing arrangements, and performance expectations.</w:t>
      </w:r>
    </w:p>
    <w:p>
      <w:pPr>
        <w:widowControl/>
      </w:pPr>
      <w:r>
        <w:rPr>
          <w:rFonts w:ascii="Times New Roman" w:hAnsi="Times New Roman"/>
          <w:b/>
          <w:sz w:val="22"/>
        </w:rPr>
        <w:t>The Community establishes direction.</w:t>
      </w:r>
      <w:r>
        <w:rPr>
          <w:rFonts w:ascii="Times New Roman" w:hAnsi="Times New Roman"/>
          <w:sz w:val="22"/>
        </w:rPr>
        <w:br/>
        <w:t>The Board facilitates, stewards, and acts upon it.</w:t>
      </w:r>
    </w:p>
    <w:p>
      <w:pPr>
        <w:pStyle w:val="Heading1"/>
        <w:widowControl/>
      </w:pPr>
      <w:r>
        <w:t>III. TOOLS THAT EMPOWER THE COMMUNITY</w:t>
      </w:r>
    </w:p>
    <w:p>
      <w:pPr>
        <w:widowControl/>
      </w:pPr>
      <w:r>
        <w:rPr>
          <w:rFonts w:ascii="Times New Roman" w:hAnsi="Times New Roman"/>
          <w:i w:val="0"/>
          <w:sz w:val="22"/>
        </w:rPr>
        <w:t>The IAC provides Communities with capabilities that would be difficult, inefficient, or costly to develop independently. These tools combine IAC-wide scale with Community-level choice and implementation.</w:t>
      </w:r>
    </w:p>
    <w:p>
      <w:pPr>
        <w:pStyle w:val="Heading2"/>
        <w:widowControl/>
      </w:pPr>
      <w:r>
        <w:t>A. IAC Coordination</w:t>
      </w:r>
    </w:p>
    <w:p>
      <w:pPr>
        <w:widowControl/>
      </w:pPr>
      <w:r>
        <w:rPr>
          <w:rFonts w:ascii="Times New Roman" w:hAnsi="Times New Roman"/>
          <w:i w:val="0"/>
          <w:sz w:val="22"/>
        </w:rPr>
        <w:t>The IAC coordinates functions that benefit from being developed across the larger network rather than recreated separately within every Community.</w:t>
      </w:r>
    </w:p>
    <w:p>
      <w:pPr>
        <w:pStyle w:val="Heading3"/>
        <w:widowControl/>
      </w:pPr>
      <w:r>
        <w:t>1. The Viability Index</w:t>
      </w:r>
    </w:p>
    <w:p>
      <w:pPr>
        <w:widowControl/>
      </w:pPr>
      <w:r>
        <w:rPr>
          <w:rFonts w:ascii="Times New Roman" w:hAnsi="Times New Roman"/>
          <w:i w:val="0"/>
          <w:sz w:val="22"/>
        </w:rPr>
        <w:t>The Viability Index provides three complementary capabilities.</w:t>
      </w:r>
    </w:p>
    <w:p>
      <w:pPr>
        <w:pStyle w:val="CompactNumbered"/>
        <w:widowControl/>
      </w:pPr>
      <w:r>
        <w:rPr>
          <w:rFonts w:ascii="Times New Roman" w:hAnsi="Times New Roman"/>
          <w:b/>
          <w:sz w:val="21"/>
        </w:rPr>
        <w:t>1. Community Health Assessment.</w:t>
      </w:r>
      <w:r>
        <w:rPr>
          <w:rFonts w:ascii="Times New Roman" w:hAnsi="Times New Roman"/>
          <w:sz w:val="21"/>
        </w:rPr>
        <w:t xml:space="preserve"> A broad system of indicators measures how comprehensively healthy the Community is and identifies trends, strengths, vulnerabilities, resilience, risks, opportunities, and progress.</w:t>
      </w:r>
    </w:p>
    <w:p>
      <w:pPr>
        <w:pStyle w:val="CompactNumbered"/>
        <w:widowControl/>
      </w:pPr>
      <w:r>
        <w:rPr>
          <w:rFonts w:ascii="Times New Roman" w:hAnsi="Times New Roman"/>
          <w:b/>
          <w:sz w:val="21"/>
        </w:rPr>
        <w:t>2. Common-Profile Search.</w:t>
      </w:r>
      <w:r>
        <w:rPr>
          <w:rFonts w:ascii="Times New Roman" w:hAnsi="Times New Roman"/>
          <w:sz w:val="21"/>
        </w:rPr>
        <w:t xml:space="preserve"> Searchable Community profiles identify Communities experiencing similar conditions or opportunities so that common problems can be addressed strategically across all affected Communities.</w:t>
      </w:r>
    </w:p>
    <w:p>
      <w:pPr>
        <w:pStyle w:val="CompactNumbered"/>
        <w:widowControl/>
      </w:pPr>
      <w:r>
        <w:rPr>
          <w:rFonts w:ascii="Times New Roman" w:hAnsi="Times New Roman"/>
          <w:b/>
          <w:sz w:val="21"/>
        </w:rPr>
        <w:t>3. Project Review and Optimization.</w:t>
      </w:r>
      <w:r>
        <w:rPr>
          <w:rFonts w:ascii="Times New Roman" w:hAnsi="Times New Roman"/>
          <w:sz w:val="21"/>
        </w:rPr>
        <w:t xml:space="preserve"> Six AI-supported analytical engines help examine proposed projects and investments, identify missing information, expand beneficiaries and stakeholders, recognize shared assets and partners, locate additional funding, test alternatives, reduce risk, and optimize Community return.</w:t>
      </w:r>
    </w:p>
    <w:p>
      <w:pPr>
        <w:widowControl/>
      </w:pPr>
      <w:r>
        <w:rPr>
          <w:rFonts w:ascii="Times New Roman" w:hAnsi="Times New Roman"/>
          <w:i w:val="0"/>
          <w:sz w:val="22"/>
        </w:rPr>
        <w:t>The objective is not simply to determine whether a proposed project is acceptable. It is to ask:</w:t>
      </w:r>
    </w:p>
    <w:p>
      <w:pPr>
        <w:spacing w:after="100"/>
        <w:jc w:val="center"/>
        <w:widowControl/>
      </w:pPr>
      <w:r>
        <w:rPr>
          <w:rFonts w:ascii="Times New Roman" w:hAnsi="Times New Roman"/>
          <w:b/>
          <w:i/>
          <w:sz w:val="23"/>
        </w:rPr>
        <w:t>How can this investment produce the greatest possible benefit for the Community?</w:t>
      </w:r>
    </w:p>
    <w:p>
      <w:pPr>
        <w:widowControl/>
      </w:pPr>
      <w:r>
        <w:rPr>
          <w:rFonts w:ascii="Times New Roman" w:hAnsi="Times New Roman"/>
          <w:i w:val="0"/>
          <w:sz w:val="22"/>
        </w:rPr>
        <w:t>The Community Board drives the Community review while formal approvals remain with the governmental, institutional, or private organizations responsible for them.</w:t>
      </w:r>
    </w:p>
    <w:p>
      <w:pPr>
        <w:pStyle w:val="Heading3"/>
        <w:widowControl/>
      </w:pPr>
      <w:r>
        <w:t>2. Consensus Budgeting</w:t>
      </w:r>
    </w:p>
    <w:p>
      <w:pPr>
        <w:widowControl/>
      </w:pPr>
      <w:r>
        <w:rPr>
          <w:rFonts w:ascii="Times New Roman" w:hAnsi="Times New Roman"/>
          <w:i w:val="0"/>
          <w:sz w:val="22"/>
        </w:rPr>
        <w:t>Consensus Budgeting connects Community priorities with larger investment decisions.</w:t>
      </w:r>
    </w:p>
    <w:p>
      <w:pPr>
        <w:widowControl/>
      </w:pPr>
      <w:r>
        <w:rPr>
          <w:rFonts w:ascii="Times New Roman" w:hAnsi="Times New Roman"/>
          <w:i w:val="0"/>
          <w:sz w:val="22"/>
        </w:rPr>
        <w:t>IAC-wide information, Viability findings, emerging opportunities, and e-Consensus help identify potential priorities. Communities then review, modify, and prioritize those needs from their own perspective.</w:t>
      </w:r>
    </w:p>
    <w:p>
      <w:pPr>
        <w:widowControl/>
      </w:pPr>
      <w:r>
        <w:rPr>
          <w:rFonts w:ascii="Times New Roman" w:hAnsi="Times New Roman"/>
          <w:i w:val="0"/>
          <w:sz w:val="22"/>
        </w:rPr>
        <w:t>The results move to the Annual Budgeting Conference, where investments can be evaluated, combined, expanded, modified, coordinated, and aligned with public, private, philanthropic, institutional, nonprofit, and Community resources.</w:t>
      </w:r>
    </w:p>
    <w:p>
      <w:pPr>
        <w:widowControl/>
      </w:pPr>
      <w:r>
        <w:rPr>
          <w:rFonts w:ascii="Times New Roman" w:hAnsi="Times New Roman"/>
          <w:i w:val="0"/>
          <w:sz w:val="22"/>
        </w:rPr>
        <w:t>The purpose is not simply to develop an IAC budget. It is to improve the alignment of the total investment affecting the Community with documented Community priorities.</w:t>
      </w:r>
    </w:p>
    <w:p>
      <w:pPr>
        <w:pStyle w:val="Heading2"/>
        <w:widowControl/>
      </w:pPr>
      <w:r>
        <w:t>B. The TeleCenter</w:t>
      </w:r>
    </w:p>
    <w:p>
      <w:pPr>
        <w:widowControl/>
      </w:pPr>
      <w:r>
        <w:rPr>
          <w:rFonts w:ascii="Times New Roman" w:hAnsi="Times New Roman"/>
          <w:i w:val="0"/>
          <w:sz w:val="22"/>
        </w:rPr>
        <w:t>The IAC TeleCenter is the physical and operating home of the Community Board and the Community’s local implementation interface with the larger IAC network.</w:t>
      </w:r>
    </w:p>
    <w:p>
      <w:pPr>
        <w:widowControl/>
      </w:pPr>
      <w:r>
        <w:rPr>
          <w:rFonts w:ascii="Times New Roman" w:hAnsi="Times New Roman"/>
          <w:b/>
          <w:sz w:val="22"/>
        </w:rPr>
        <w:t>It is Community-managed and IAC-enabled.</w:t>
      </w:r>
      <w:r>
        <w:rPr>
          <w:rFonts w:ascii="Times New Roman" w:hAnsi="Times New Roman"/>
          <w:sz w:val="22"/>
        </w:rPr>
      </w:r>
    </w:p>
    <w:p>
      <w:pPr>
        <w:widowControl/>
      </w:pPr>
      <w:r>
        <w:rPr>
          <w:rFonts w:ascii="Times New Roman" w:hAnsi="Times New Roman"/>
          <w:i w:val="0"/>
          <w:sz w:val="22"/>
        </w:rPr>
        <w:t>The TeleCenter responds to priorities and needs identified through the Lens, e-Consensus, Community Voice, Visioning, Board activity, and everyday Community use. It is also catalytic—actively identifying gaps, matching needs with providers, recruiting new capabilities, organizing participation, and helping move Community priorities into implementation.</w:t>
      </w:r>
    </w:p>
    <w:p>
      <w:pPr>
        <w:pStyle w:val="CompactNumbered"/>
        <w:widowControl/>
      </w:pPr>
      <w:r>
        <w:rPr>
          <w:rFonts w:ascii="Times New Roman" w:hAnsi="Times New Roman"/>
          <w:b/>
          <w:sz w:val="21"/>
        </w:rPr>
        <w:t>1. Service Distribution and Matching.</w:t>
      </w:r>
      <w:r>
        <w:rPr>
          <w:rFonts w:ascii="Times New Roman" w:hAnsi="Times New Roman"/>
          <w:sz w:val="21"/>
        </w:rPr>
        <w:t xml:space="preserve"> The TeleCenter connects Community needs with the IAC Service Library and with providers, programs, curriculum, expertise, technology, equipment, and other capabilities available throughout the IAC network. The Community does not need to own or locally recreate every service it uses; the TeleCenter helps determine where the capability exists and how it can reach the resident or organization that needs it.</w:t>
      </w:r>
    </w:p>
    <w:p>
      <w:pPr>
        <w:pStyle w:val="CompactNumbered"/>
        <w:widowControl/>
      </w:pPr>
      <w:r>
        <w:rPr>
          <w:rFonts w:ascii="Times New Roman" w:hAnsi="Times New Roman"/>
          <w:b/>
          <w:sz w:val="21"/>
        </w:rPr>
        <w:t>2. Broadband and Technology Coordination.</w:t>
      </w:r>
      <w:r>
        <w:rPr>
          <w:rFonts w:ascii="Times New Roman" w:hAnsi="Times New Roman"/>
          <w:sz w:val="21"/>
        </w:rPr>
        <w:t xml:space="preserve"> Broadband is treated as a system extending from the full IAC through Service Centers, Communities, Small Towns, neighborhoods, large residential or commercial locations, and individual households. The IAC collaborates with multiple service providers and technologies to achieve the appropriate combination of coverage, performance, affordability, redundancy, resilience, and support. The TeleCenter provides the local coordination point for that system.</w:t>
      </w:r>
    </w:p>
    <w:p>
      <w:pPr>
        <w:pStyle w:val="CompactNumbered"/>
        <w:widowControl/>
      </w:pPr>
      <w:r>
        <w:rPr>
          <w:rFonts w:ascii="Times New Roman" w:hAnsi="Times New Roman"/>
          <w:b/>
          <w:sz w:val="21"/>
        </w:rPr>
        <w:t>3. The Virtual/Physical Interface.</w:t>
      </w:r>
      <w:r>
        <w:rPr>
          <w:rFonts w:ascii="Times New Roman" w:hAnsi="Times New Roman"/>
          <w:sz w:val="21"/>
        </w:rPr>
        <w:t xml:space="preserve"> The home is the preferred endpoint for services whenever practical. Virtual services, however, often retain physical requirements. The TeleCenter provides the intersection between the virtual provider and those residual needs, including equipment, supplies, specialized technology, secure transactions, diagnostics, testing, e-commerce interactions, pickup and returns, training materials, and other physical capabilities that cannot efficiently be placed in every home.</w:t>
      </w:r>
    </w:p>
    <w:p>
      <w:pPr>
        <w:pStyle w:val="CompactNumbered"/>
        <w:widowControl/>
      </w:pPr>
      <w:r>
        <w:rPr>
          <w:rFonts w:ascii="Times New Roman" w:hAnsi="Times New Roman"/>
          <w:b/>
          <w:sz w:val="21"/>
        </w:rPr>
        <w:t>4. Community Facilitation.</w:t>
      </w:r>
      <w:r>
        <w:rPr>
          <w:rFonts w:ascii="Times New Roman" w:hAnsi="Times New Roman"/>
          <w:sz w:val="21"/>
        </w:rPr>
        <w:t xml:space="preserve"> The TeleCenter supports Community Board activities, e-Consensus, Community Voice, Visioning, project development, meetings, training, Community events, family histories, local storytelling, historical activities, and other efforts that strengthen participation and Community identity.</w:t>
      </w:r>
    </w:p>
    <w:p>
      <w:pPr>
        <w:pStyle w:val="CompactNumbered"/>
        <w:widowControl/>
      </w:pPr>
      <w:r>
        <w:rPr>
          <w:rFonts w:ascii="Times New Roman" w:hAnsi="Times New Roman"/>
          <w:b/>
          <w:sz w:val="21"/>
        </w:rPr>
        <w:t>5. Volunteer Mobilization.</w:t>
      </w:r>
      <w:r>
        <w:rPr>
          <w:rFonts w:ascii="Times New Roman" w:hAnsi="Times New Roman"/>
          <w:sz w:val="21"/>
        </w:rPr>
        <w:t xml:space="preserve"> Volunteerism operates at multiple levels. Students, residents, retirees, professionals, businesses, organizations, mentors, and other participants can contribute to a single event, research project, Community history effort, mentoring activity, project team, Collaborative, continuing Community initiative, or IAC-wide effort. The TeleCenter helps translate willingness to contribute into productive participation.</w:t>
      </w:r>
    </w:p>
    <w:p>
      <w:pPr>
        <w:pStyle w:val="CompactNumbered"/>
        <w:widowControl/>
      </w:pPr>
      <w:r>
        <w:rPr>
          <w:rFonts w:ascii="Times New Roman" w:hAnsi="Times New Roman"/>
          <w:b/>
          <w:sz w:val="21"/>
        </w:rPr>
        <w:t>6. Implementation Support.</w:t>
      </w:r>
      <w:r>
        <w:rPr>
          <w:rFonts w:ascii="Times New Roman" w:hAnsi="Times New Roman"/>
          <w:sz w:val="21"/>
        </w:rPr>
        <w:t xml:space="preserve"> Once a Community priority has been established, the TeleCenter helps recruit and coordinate the providers, volunteers, students, professionals, institutions, businesses, technology, equipment, funding relationships, and other resources needed to implement it. The TeleCenter therefore does more than respond to service requests; it helps turn Community decisions into action.</w:t>
      </w:r>
    </w:p>
    <w:p>
      <w:pPr>
        <w:pStyle w:val="CompactNumbered"/>
        <w:widowControl/>
      </w:pPr>
      <w:r>
        <w:rPr>
          <w:rFonts w:ascii="Times New Roman" w:hAnsi="Times New Roman"/>
          <w:b/>
          <w:sz w:val="21"/>
        </w:rPr>
        <w:t>7. Physical Home and Access.</w:t>
      </w:r>
      <w:r>
        <w:rPr>
          <w:rFonts w:ascii="Times New Roman" w:hAnsi="Times New Roman"/>
          <w:sz w:val="21"/>
        </w:rPr>
        <w:t xml:space="preserve"> Every Community TeleCenter has an identifiable physical home. It may be purpose-built or co-located with another Community asset, but co-location must preserve the independence, security, identity, technology, storage, and access needed by TeleCenter functions. Operating access will commonly extend beyond conventional government or institutional hours. Staffed hours and accessible hours are not necessarily the same.</w:t>
      </w:r>
    </w:p>
    <w:p>
      <w:pPr>
        <w:pStyle w:val="CompactNumbered"/>
        <w:widowControl/>
      </w:pPr>
      <w:r>
        <w:rPr>
          <w:rFonts w:ascii="Times New Roman" w:hAnsi="Times New Roman"/>
          <w:b/>
          <w:sz w:val="21"/>
        </w:rPr>
        <w:t>8. Neighborhood Extensions.</w:t>
      </w:r>
      <w:r>
        <w:rPr>
          <w:rFonts w:ascii="Times New Roman" w:hAnsi="Times New Roman"/>
          <w:sz w:val="21"/>
        </w:rPr>
        <w:t xml:space="preserve"> Selected TeleCenter capabilities can extend into Small Towns, neighborhoods, residential concentrations, business campuses, commercial locations, or other sites where sufficient need exists. Neighborhood TeleCenters do not duplicate the full Community TeleCenter; they extend only the capabilities justified by their location and population.</w:t>
      </w:r>
    </w:p>
    <w:p>
      <w:pPr>
        <w:pStyle w:val="CompactNumbered"/>
        <w:widowControl/>
      </w:pPr>
      <w:r>
        <w:rPr>
          <w:rFonts w:ascii="Times New Roman" w:hAnsi="Times New Roman"/>
          <w:b/>
          <w:sz w:val="21"/>
        </w:rPr>
        <w:t>9. Staffing and Management.</w:t>
      </w:r>
      <w:r>
        <w:rPr>
          <w:rFonts w:ascii="Times New Roman" w:hAnsi="Times New Roman"/>
          <w:sz w:val="21"/>
        </w:rPr>
        <w:t xml:space="preserve"> The preferred operating model is lean and Community-based. Students and volunteers support appropriate functions wherever practical. An IAC manager or floating manager serving several Communities can maintain common standards, training, technology coordination, service quality, reporting, continuity, and operating effectiveness. Specialized professional functions remain with qualified providers.</w:t>
      </w:r>
    </w:p>
    <w:p>
      <w:pPr>
        <w:pStyle w:val="Heading2"/>
        <w:widowControl/>
      </w:pPr>
      <w:r>
        <w:t>C. The Community Lens</w:t>
      </w:r>
    </w:p>
    <w:p>
      <w:pPr>
        <w:widowControl/>
      </w:pPr>
      <w:r>
        <w:rPr>
          <w:rFonts w:ascii="Times New Roman" w:hAnsi="Times New Roman"/>
          <w:i w:val="0"/>
          <w:sz w:val="22"/>
        </w:rPr>
        <w:t>The Community Lens is the Community’s digital interface with the IAC.</w:t>
      </w:r>
    </w:p>
    <w:p>
      <w:pPr>
        <w:widowControl/>
      </w:pPr>
      <w:r>
        <w:rPr>
          <w:rFonts w:ascii="Times New Roman" w:hAnsi="Times New Roman"/>
          <w:i w:val="0"/>
          <w:sz w:val="22"/>
        </w:rPr>
        <w:t>The Lens and TeleCenter are designed as complementary parts of the same operating system.</w:t>
      </w:r>
    </w:p>
    <w:p>
      <w:pPr>
        <w:spacing w:after="100"/>
        <w:jc w:val="center"/>
        <w:widowControl/>
      </w:pPr>
      <w:r>
        <w:rPr>
          <w:rFonts w:ascii="Times New Roman" w:hAnsi="Times New Roman"/>
          <w:b/>
          <w:sz w:val="23"/>
        </w:rPr>
        <w:t>The Lens brings the IAC to the screen.</w:t>
        <w:br/>
      </w:r>
      <w:r>
        <w:rPr>
          <w:rFonts w:ascii="Times New Roman" w:hAnsi="Times New Roman"/>
          <w:b/>
          <w:sz w:val="23"/>
        </w:rPr>
        <w:t>The TeleCenter brings the IAC into the Community.</w:t>
        <w:br/>
      </w:r>
    </w:p>
    <w:p>
      <w:pPr>
        <w:pStyle w:val="CompactNumbered"/>
        <w:widowControl/>
      </w:pPr>
      <w:r>
        <w:rPr>
          <w:rFonts w:ascii="Times New Roman" w:hAnsi="Times New Roman"/>
          <w:b/>
          <w:sz w:val="21"/>
        </w:rPr>
        <w:t>1. Information and Access.</w:t>
      </w:r>
      <w:r>
        <w:rPr>
          <w:rFonts w:ascii="Times New Roman" w:hAnsi="Times New Roman"/>
          <w:sz w:val="21"/>
        </w:rPr>
        <w:t xml:space="preserve"> The Lens provides Community profiles, maps, service information, Viability findings, projects, events, Community stories, volunteer opportunities, and access to the Community Service Profile and IAC Service Library.</w:t>
      </w:r>
    </w:p>
    <w:p>
      <w:pPr>
        <w:pStyle w:val="CompactNumbered"/>
        <w:widowControl/>
      </w:pPr>
      <w:r>
        <w:rPr>
          <w:rFonts w:ascii="Times New Roman" w:hAnsi="Times New Roman"/>
          <w:b/>
          <w:sz w:val="21"/>
        </w:rPr>
        <w:t>2. Engagement.</w:t>
      </w:r>
      <w:r>
        <w:rPr>
          <w:rFonts w:ascii="Times New Roman" w:hAnsi="Times New Roman"/>
          <w:sz w:val="21"/>
        </w:rPr>
        <w:t xml:space="preserve"> Residents can use the Lens to participate, register, contribute, request assistance, volunteer, follow projects, review progress, and engage in Community activities.</w:t>
      </w:r>
    </w:p>
    <w:p>
      <w:pPr>
        <w:pStyle w:val="CompactNumbered"/>
        <w:widowControl/>
      </w:pPr>
      <w:r>
        <w:rPr>
          <w:rFonts w:ascii="Times New Roman" w:hAnsi="Times New Roman"/>
          <w:b/>
          <w:sz w:val="21"/>
        </w:rPr>
        <w:t>3. e-Consensus and Community Voice.</w:t>
      </w:r>
      <w:r>
        <w:rPr>
          <w:rFonts w:ascii="Times New Roman" w:hAnsi="Times New Roman"/>
          <w:sz w:val="21"/>
        </w:rPr>
        <w:t xml:space="preserve"> e-Consensus provides the structured process through which Community participants deliberate issues and develop documented Community judgments, priorities, policy positions, resolutions, and Action Plans. e-Consensus defines the content of Community Voice. Community Voice then amplifies those documented conclusions into governmental, political, institutional, business, funding, service-provider, and other arenas where they can influence decisions and action.</w:t>
      </w:r>
    </w:p>
    <w:p>
      <w:pPr>
        <w:pStyle w:val="CompactNumbered"/>
        <w:widowControl/>
      </w:pPr>
      <w:r>
        <w:rPr>
          <w:rFonts w:ascii="Times New Roman" w:hAnsi="Times New Roman"/>
          <w:b/>
          <w:sz w:val="21"/>
        </w:rPr>
        <w:t>4. Multi-Level Volunteerism.</w:t>
      </w:r>
      <w:r>
        <w:rPr>
          <w:rFonts w:ascii="Times New Roman" w:hAnsi="Times New Roman"/>
          <w:sz w:val="21"/>
        </w:rPr>
        <w:t xml:space="preserve"> The Lens makes Community needs and opportunities visible and enables people and organizations to identify how they wish to contribute. The TeleCenter then helps match that interest with actual Community work.</w:t>
      </w:r>
    </w:p>
    <w:p>
      <w:pPr>
        <w:pStyle w:val="CompactNumbered"/>
        <w:widowControl/>
      </w:pPr>
      <w:r>
        <w:rPr>
          <w:rFonts w:ascii="Times New Roman" w:hAnsi="Times New Roman"/>
          <w:b/>
          <w:sz w:val="21"/>
        </w:rPr>
        <w:t>5. Digital/Physical Feedback.</w:t>
      </w:r>
      <w:r>
        <w:rPr>
          <w:rFonts w:ascii="Times New Roman" w:hAnsi="Times New Roman"/>
          <w:sz w:val="21"/>
        </w:rPr>
        <w:t xml:space="preserve"> When Lens activity requires human assistance, facilitation, specialized technology, equipment, supplies, physical exchange, matching, or implementation, the TeleCenter provides the response. TeleCenter activity in turn feeds information back to the Lens—new services, projects, Community stories, volunteer opportunities, events, e-Consensus results, Vision progress, Community priorities, and measurable outcomes. The relationship is continuous rather than one-way.</w:t>
      </w:r>
    </w:p>
    <w:p>
      <w:pPr>
        <w:pStyle w:val="Heading1"/>
        <w:widowControl/>
      </w:pPr>
      <w:r>
        <w:t>IV. THE COMMUNITY’S ANNUAL INPUT AND ACTION PROCESS</w:t>
      </w:r>
    </w:p>
    <w:p>
      <w:pPr>
        <w:widowControl/>
      </w:pPr>
      <w:r>
        <w:rPr>
          <w:rFonts w:ascii="Times New Roman" w:hAnsi="Times New Roman"/>
          <w:i w:val="0"/>
          <w:sz w:val="22"/>
        </w:rPr>
        <w:t>The Community operates through a continuing annual cycle in which information becomes participation, participation becomes documented Community judgment, priorities become action, and measured results improve the next cycle.</w:t>
      </w:r>
    </w:p>
    <w:p>
      <w:pPr>
        <w:widowControl/>
      </w:pPr>
      <w:r>
        <w:rPr>
          <w:rFonts w:ascii="Times New Roman" w:hAnsi="Times New Roman"/>
          <w:i w:val="0"/>
          <w:sz w:val="22"/>
        </w:rPr>
        <w:t>The final public version of this section is intended to be presented primarily through a simple nine-part circular graphic centered on THE COMMUNITY.</w:t>
      </w:r>
    </w:p>
    <w:tbl>
      <w:tblPr>
        <w:tblW w:type="auto" w:w="0"/>
        <w:jc w:val="center"/>
        <w:tblLayout w:type="fixed"/>
        <w:tblLook w:firstColumn="1" w:firstRow="1" w:lastColumn="0" w:lastRow="0" w:noHBand="0" w:noVBand="1" w:val="04A0"/>
      </w:tblPr>
      <w:tblGrid>
        <w:gridCol w:w="2448"/>
        <w:gridCol w:w="8136"/>
      </w:tblGrid>
      <w:tr>
        <w:tc>
          <w:tcPr>
            <w:tcW w:type="dxa" w:w="4939"/>
            <w:vAlign w:val="center"/>
            <w:tcMar>
              <w:top w:w="70" w:type="dxa"/>
              <w:left w:w="90" w:type="dxa"/>
              <w:bottom w:w="70" w:type="dxa"/>
              <w:right w:w="90" w:type="dxa"/>
            </w:tcMar>
          </w:tcPr>
          <w:p>
            <w:r>
              <w:rPr>
                <w:rFonts w:ascii="Times New Roman" w:hAnsi="Times New Roman"/>
                <w:b/>
                <w:sz w:val="20"/>
              </w:rPr>
              <w:t>Cycle Step</w:t>
            </w:r>
          </w:p>
        </w:tc>
        <w:tc>
          <w:tcPr>
            <w:tcW w:type="dxa" w:w="4939"/>
            <w:vAlign w:val="center"/>
            <w:tcMar>
              <w:top w:w="70" w:type="dxa"/>
              <w:left w:w="90" w:type="dxa"/>
              <w:bottom w:w="70" w:type="dxa"/>
              <w:right w:w="90" w:type="dxa"/>
            </w:tcMar>
          </w:tcPr>
          <w:p>
            <w:r>
              <w:rPr>
                <w:rFonts w:ascii="Times New Roman" w:hAnsi="Times New Roman"/>
                <w:b/>
                <w:sz w:val="20"/>
              </w:rPr>
              <w:t>Community Function</w:t>
            </w:r>
          </w:p>
        </w:tc>
      </w:tr>
      <w:tr>
        <w:tc>
          <w:tcPr>
            <w:tcW w:type="dxa" w:w="2448"/>
            <w:vAlign w:val="center"/>
            <w:tcMar>
              <w:top w:w="70" w:type="dxa"/>
              <w:left w:w="90" w:type="dxa"/>
              <w:bottom w:w="70" w:type="dxa"/>
              <w:right w:w="90" w:type="dxa"/>
            </w:tcMar>
          </w:tcPr>
          <w:p>
            <w:pPr>
              <w:spacing w:after="0" w:line="240" w:lineRule="auto"/>
            </w:pPr>
            <w:r>
              <w:rPr>
                <w:rFonts w:ascii="Times New Roman" w:hAnsi="Times New Roman"/>
                <w:sz w:val="19"/>
              </w:rPr>
              <w:t>1. UNDERSTAND</w:t>
            </w:r>
          </w:p>
        </w:tc>
        <w:tc>
          <w:tcPr>
            <w:tcW w:type="dxa" w:w="8136"/>
            <w:vAlign w:val="center"/>
            <w:tcMar>
              <w:top w:w="70" w:type="dxa"/>
              <w:left w:w="90" w:type="dxa"/>
              <w:bottom w:w="70" w:type="dxa"/>
              <w:right w:w="90" w:type="dxa"/>
            </w:tcMar>
          </w:tcPr>
          <w:p>
            <w:pPr>
              <w:spacing w:after="0" w:line="240" w:lineRule="auto"/>
            </w:pPr>
            <w:r>
              <w:rPr>
                <w:rFonts w:ascii="Times New Roman" w:hAnsi="Times New Roman"/>
                <w:sz w:val="19"/>
              </w:rPr>
              <w:t>We use facts and data to understand our Community’s strengths, challenges, risks, and opportunities.</w:t>
            </w:r>
          </w:p>
        </w:tc>
      </w:tr>
      <w:tr>
        <w:tc>
          <w:tcPr>
            <w:tcW w:type="dxa" w:w="2448"/>
            <w:vAlign w:val="center"/>
            <w:tcMar>
              <w:top w:w="70" w:type="dxa"/>
              <w:left w:w="90" w:type="dxa"/>
              <w:bottom w:w="70" w:type="dxa"/>
              <w:right w:w="90" w:type="dxa"/>
            </w:tcMar>
          </w:tcPr>
          <w:p>
            <w:pPr>
              <w:spacing w:after="0" w:line="240" w:lineRule="auto"/>
            </w:pPr>
            <w:r>
              <w:rPr>
                <w:rFonts w:ascii="Times New Roman" w:hAnsi="Times New Roman"/>
                <w:sz w:val="19"/>
              </w:rPr>
              <w:t>2. ENGAGE</w:t>
            </w:r>
          </w:p>
        </w:tc>
        <w:tc>
          <w:tcPr>
            <w:tcW w:type="dxa" w:w="8136"/>
            <w:vAlign w:val="center"/>
            <w:tcMar>
              <w:top w:w="70" w:type="dxa"/>
              <w:left w:w="90" w:type="dxa"/>
              <w:bottom w:w="70" w:type="dxa"/>
              <w:right w:w="90" w:type="dxa"/>
            </w:tcMar>
          </w:tcPr>
          <w:p>
            <w:pPr>
              <w:spacing w:after="0" w:line="240" w:lineRule="auto"/>
            </w:pPr>
            <w:r>
              <w:rPr>
                <w:rFonts w:ascii="Times New Roman" w:hAnsi="Times New Roman"/>
                <w:sz w:val="19"/>
              </w:rPr>
              <w:t>We invite everyone to participate and contribute ideas, concerns, and solutions.</w:t>
            </w:r>
          </w:p>
        </w:tc>
      </w:tr>
      <w:tr>
        <w:tc>
          <w:tcPr>
            <w:tcW w:type="dxa" w:w="2448"/>
            <w:vAlign w:val="center"/>
            <w:tcMar>
              <w:top w:w="70" w:type="dxa"/>
              <w:left w:w="90" w:type="dxa"/>
              <w:bottom w:w="70" w:type="dxa"/>
              <w:right w:w="90" w:type="dxa"/>
            </w:tcMar>
          </w:tcPr>
          <w:p>
            <w:pPr>
              <w:spacing w:after="0" w:line="240" w:lineRule="auto"/>
            </w:pPr>
            <w:r>
              <w:rPr>
                <w:rFonts w:ascii="Times New Roman" w:hAnsi="Times New Roman"/>
                <w:sz w:val="19"/>
              </w:rPr>
              <w:t>3. DECIDE</w:t>
            </w:r>
          </w:p>
        </w:tc>
        <w:tc>
          <w:tcPr>
            <w:tcW w:type="dxa" w:w="8136"/>
            <w:vAlign w:val="center"/>
            <w:tcMar>
              <w:top w:w="70" w:type="dxa"/>
              <w:left w:w="90" w:type="dxa"/>
              <w:bottom w:w="70" w:type="dxa"/>
              <w:right w:w="90" w:type="dxa"/>
            </w:tcMar>
          </w:tcPr>
          <w:p>
            <w:pPr>
              <w:spacing w:after="0" w:line="240" w:lineRule="auto"/>
            </w:pPr>
            <w:r>
              <w:rPr>
                <w:rFonts w:ascii="Times New Roman" w:hAnsi="Times New Roman"/>
                <w:sz w:val="19"/>
              </w:rPr>
              <w:t>We deliberate together and document what our Community wants to achieve.</w:t>
            </w:r>
          </w:p>
        </w:tc>
      </w:tr>
      <w:tr>
        <w:tc>
          <w:tcPr>
            <w:tcW w:type="dxa" w:w="2448"/>
            <w:vAlign w:val="center"/>
            <w:tcMar>
              <w:top w:w="70" w:type="dxa"/>
              <w:left w:w="90" w:type="dxa"/>
              <w:bottom w:w="70" w:type="dxa"/>
              <w:right w:w="90" w:type="dxa"/>
            </w:tcMar>
          </w:tcPr>
          <w:p>
            <w:pPr>
              <w:spacing w:after="0" w:line="240" w:lineRule="auto"/>
            </w:pPr>
            <w:r>
              <w:rPr>
                <w:rFonts w:ascii="Times New Roman" w:hAnsi="Times New Roman"/>
                <w:sz w:val="19"/>
              </w:rPr>
              <w:t>4. AMPLIFY</w:t>
            </w:r>
          </w:p>
        </w:tc>
        <w:tc>
          <w:tcPr>
            <w:tcW w:type="dxa" w:w="8136"/>
            <w:vAlign w:val="center"/>
            <w:tcMar>
              <w:top w:w="70" w:type="dxa"/>
              <w:left w:w="90" w:type="dxa"/>
              <w:bottom w:w="70" w:type="dxa"/>
              <w:right w:w="90" w:type="dxa"/>
            </w:tcMar>
          </w:tcPr>
          <w:p>
            <w:pPr>
              <w:spacing w:after="0" w:line="240" w:lineRule="auto"/>
            </w:pPr>
            <w:r>
              <w:rPr>
                <w:rFonts w:ascii="Times New Roman" w:hAnsi="Times New Roman"/>
                <w:sz w:val="19"/>
              </w:rPr>
              <w:t>We speak with one Community Voice to influence decisions, secure support, and open doors.</w:t>
            </w:r>
          </w:p>
        </w:tc>
      </w:tr>
      <w:tr>
        <w:tc>
          <w:tcPr>
            <w:tcW w:type="dxa" w:w="2448"/>
            <w:vAlign w:val="center"/>
            <w:tcMar>
              <w:top w:w="70" w:type="dxa"/>
              <w:left w:w="90" w:type="dxa"/>
              <w:bottom w:w="70" w:type="dxa"/>
              <w:right w:w="90" w:type="dxa"/>
            </w:tcMar>
          </w:tcPr>
          <w:p>
            <w:pPr>
              <w:spacing w:after="0" w:line="240" w:lineRule="auto"/>
            </w:pPr>
            <w:r>
              <w:rPr>
                <w:rFonts w:ascii="Times New Roman" w:hAnsi="Times New Roman"/>
                <w:sz w:val="19"/>
              </w:rPr>
              <w:t>5. STEWARD</w:t>
            </w:r>
          </w:p>
        </w:tc>
        <w:tc>
          <w:tcPr>
            <w:tcW w:type="dxa" w:w="8136"/>
            <w:vAlign w:val="center"/>
            <w:tcMar>
              <w:top w:w="70" w:type="dxa"/>
              <w:left w:w="90" w:type="dxa"/>
              <w:bottom w:w="70" w:type="dxa"/>
              <w:right w:w="90" w:type="dxa"/>
            </w:tcMar>
          </w:tcPr>
          <w:p>
            <w:pPr>
              <w:spacing w:after="0" w:line="240" w:lineRule="auto"/>
            </w:pPr>
            <w:r>
              <w:rPr>
                <w:rFonts w:ascii="Times New Roman" w:hAnsi="Times New Roman"/>
                <w:sz w:val="19"/>
              </w:rPr>
              <w:t>We act upon Community priorities, build relationships, and coordinate the services and partners needed to move them forward.</w:t>
            </w:r>
          </w:p>
        </w:tc>
      </w:tr>
      <w:tr>
        <w:tc>
          <w:tcPr>
            <w:tcW w:type="dxa" w:w="2448"/>
            <w:vAlign w:val="center"/>
            <w:tcMar>
              <w:top w:w="70" w:type="dxa"/>
              <w:left w:w="90" w:type="dxa"/>
              <w:bottom w:w="70" w:type="dxa"/>
              <w:right w:w="90" w:type="dxa"/>
            </w:tcMar>
          </w:tcPr>
          <w:p>
            <w:pPr>
              <w:spacing w:after="0" w:line="240" w:lineRule="auto"/>
            </w:pPr>
            <w:r>
              <w:rPr>
                <w:rFonts w:ascii="Times New Roman" w:hAnsi="Times New Roman"/>
                <w:sz w:val="19"/>
              </w:rPr>
              <w:t>6. VISION</w:t>
            </w:r>
          </w:p>
        </w:tc>
        <w:tc>
          <w:tcPr>
            <w:tcW w:type="dxa" w:w="8136"/>
            <w:vAlign w:val="center"/>
            <w:tcMar>
              <w:top w:w="70" w:type="dxa"/>
              <w:left w:w="90" w:type="dxa"/>
              <w:bottom w:w="70" w:type="dxa"/>
              <w:right w:w="90" w:type="dxa"/>
            </w:tcMar>
          </w:tcPr>
          <w:p>
            <w:pPr>
              <w:spacing w:after="0" w:line="240" w:lineRule="auto"/>
            </w:pPr>
            <w:r>
              <w:rPr>
                <w:rFonts w:ascii="Times New Roman" w:hAnsi="Times New Roman"/>
                <w:sz w:val="19"/>
              </w:rPr>
              <w:t>We keep our long-term Community Vision in focus and measure our progress toward it each year.</w:t>
            </w:r>
          </w:p>
        </w:tc>
      </w:tr>
      <w:tr>
        <w:tc>
          <w:tcPr>
            <w:tcW w:type="dxa" w:w="2448"/>
            <w:vAlign w:val="center"/>
            <w:tcMar>
              <w:top w:w="70" w:type="dxa"/>
              <w:left w:w="90" w:type="dxa"/>
              <w:bottom w:w="70" w:type="dxa"/>
              <w:right w:w="90" w:type="dxa"/>
            </w:tcMar>
          </w:tcPr>
          <w:p>
            <w:pPr>
              <w:spacing w:after="0" w:line="240" w:lineRule="auto"/>
            </w:pPr>
            <w:r>
              <w:rPr>
                <w:rFonts w:ascii="Times New Roman" w:hAnsi="Times New Roman"/>
                <w:sz w:val="19"/>
              </w:rPr>
              <w:t>7. PRIORITIZE &amp; RESOURCE</w:t>
            </w:r>
          </w:p>
        </w:tc>
        <w:tc>
          <w:tcPr>
            <w:tcW w:type="dxa" w:w="8136"/>
            <w:vAlign w:val="center"/>
            <w:tcMar>
              <w:top w:w="70" w:type="dxa"/>
              <w:left w:w="90" w:type="dxa"/>
              <w:bottom w:w="70" w:type="dxa"/>
              <w:right w:w="90" w:type="dxa"/>
            </w:tcMar>
          </w:tcPr>
          <w:p>
            <w:pPr>
              <w:spacing w:after="0" w:line="240" w:lineRule="auto"/>
            </w:pPr>
            <w:r>
              <w:rPr>
                <w:rFonts w:ascii="Times New Roman" w:hAnsi="Times New Roman"/>
                <w:sz w:val="19"/>
              </w:rPr>
              <w:t>We align Community priorities with funding, investment, resources, and partners through Consensus Budgeting and the Annual Budgeting Conference.</w:t>
            </w:r>
          </w:p>
        </w:tc>
      </w:tr>
      <w:tr>
        <w:tc>
          <w:tcPr>
            <w:tcW w:type="dxa" w:w="2448"/>
            <w:vAlign w:val="center"/>
            <w:tcMar>
              <w:top w:w="70" w:type="dxa"/>
              <w:left w:w="90" w:type="dxa"/>
              <w:bottom w:w="70" w:type="dxa"/>
              <w:right w:w="90" w:type="dxa"/>
            </w:tcMar>
          </w:tcPr>
          <w:p>
            <w:pPr>
              <w:spacing w:after="0" w:line="240" w:lineRule="auto"/>
            </w:pPr>
            <w:r>
              <w:rPr>
                <w:rFonts w:ascii="Times New Roman" w:hAnsi="Times New Roman"/>
                <w:sz w:val="19"/>
              </w:rPr>
              <w:t>8. IMPLEMENT</w:t>
            </w:r>
          </w:p>
        </w:tc>
        <w:tc>
          <w:tcPr>
            <w:tcW w:type="dxa" w:w="8136"/>
            <w:vAlign w:val="center"/>
            <w:tcMar>
              <w:top w:w="70" w:type="dxa"/>
              <w:left w:w="90" w:type="dxa"/>
              <w:bottom w:w="70" w:type="dxa"/>
              <w:right w:w="90" w:type="dxa"/>
            </w:tcMar>
          </w:tcPr>
          <w:p>
            <w:pPr>
              <w:spacing w:after="0" w:line="240" w:lineRule="auto"/>
            </w:pPr>
            <w:r>
              <w:rPr>
                <w:rFonts w:ascii="Times New Roman" w:hAnsi="Times New Roman"/>
                <w:sz w:val="19"/>
              </w:rPr>
              <w:t>We mobilize people, services, technology, providers, volunteers, and resources through the TeleCenter to turn priorities into action.</w:t>
            </w:r>
          </w:p>
        </w:tc>
      </w:tr>
      <w:tr>
        <w:tc>
          <w:tcPr>
            <w:tcW w:type="dxa" w:w="2448"/>
            <w:vAlign w:val="center"/>
            <w:tcMar>
              <w:top w:w="70" w:type="dxa"/>
              <w:left w:w="90" w:type="dxa"/>
              <w:bottom w:w="70" w:type="dxa"/>
              <w:right w:w="90" w:type="dxa"/>
            </w:tcMar>
          </w:tcPr>
          <w:p>
            <w:pPr>
              <w:spacing w:after="0" w:line="240" w:lineRule="auto"/>
            </w:pPr>
            <w:r>
              <w:rPr>
                <w:rFonts w:ascii="Times New Roman" w:hAnsi="Times New Roman"/>
                <w:sz w:val="19"/>
              </w:rPr>
              <w:t>9. MEASURE &amp; RETURN</w:t>
            </w:r>
          </w:p>
        </w:tc>
        <w:tc>
          <w:tcPr>
            <w:tcW w:type="dxa" w:w="8136"/>
            <w:vAlign w:val="center"/>
            <w:tcMar>
              <w:top w:w="70" w:type="dxa"/>
              <w:left w:w="90" w:type="dxa"/>
              <w:bottom w:w="70" w:type="dxa"/>
              <w:right w:w="90" w:type="dxa"/>
            </w:tcMar>
          </w:tcPr>
          <w:p>
            <w:pPr>
              <w:spacing w:after="0" w:line="240" w:lineRule="auto"/>
            </w:pPr>
            <w:r>
              <w:rPr>
                <w:rFonts w:ascii="Times New Roman" w:hAnsi="Times New Roman"/>
                <w:sz w:val="19"/>
              </w:rPr>
              <w:t>We measure results, share what was learned, and return that knowledge to the Community to begin the next cycle stronger.</w:t>
            </w:r>
          </w:p>
        </w:tc>
      </w:tr>
    </w:tbl>
    <w:p>
      <w:pPr>
        <w:widowControl/>
      </w:pPr>
      <w:r>
        <w:rPr>
          <w:rFonts w:ascii="Times New Roman" w:hAnsi="Times New Roman"/>
          <w:b/>
          <w:sz w:val="22"/>
        </w:rPr>
        <w:t>Center of the circle:</w:t>
      </w:r>
      <w:r>
        <w:rPr>
          <w:rFonts w:ascii="Times New Roman" w:hAnsi="Times New Roman"/>
          <w:sz w:val="22"/>
        </w:rPr>
        <w:t xml:space="preserve"> THE COMMUNITY — Community Input → Community Decisions → Coordinated Action → Measurable Results.</w:t>
      </w:r>
    </w:p>
    <w:p>
      <w:pPr>
        <w:widowControl/>
      </w:pPr>
      <w:r>
        <w:rPr>
          <w:rFonts w:ascii="Times New Roman" w:hAnsi="Times New Roman"/>
          <w:i w:val="0"/>
          <w:sz w:val="22"/>
        </w:rPr>
        <w:t>The final arrow returns Measure &amp; Return to Understand, emphasizing that the IAC is a recurring Community management process rather than a sequence that ends with implementation.</w:t>
      </w:r>
    </w:p>
    <w:p>
      <w:pPr>
        <w:pStyle w:val="Heading1"/>
        <w:widowControl/>
      </w:pPr>
      <w:r>
        <w:t>RESTORING LIFESTYLE VIABILITY</w:t>
      </w:r>
    </w:p>
    <w:p>
      <w:pPr>
        <w:widowControl/>
      </w:pPr>
      <w:r>
        <w:rPr>
          <w:rFonts w:ascii="Times New Roman" w:hAnsi="Times New Roman"/>
          <w:i w:val="0"/>
          <w:sz w:val="22"/>
        </w:rPr>
        <w:t>The Information Age Community gives individual Communities access to the advantages of scale without requiring them to surrender their identity or control of their own direction.</w:t>
      </w:r>
    </w:p>
    <w:p>
      <w:pPr>
        <w:widowControl/>
      </w:pPr>
      <w:r>
        <w:rPr>
          <w:rFonts w:ascii="Times New Roman" w:hAnsi="Times New Roman"/>
          <w:i w:val="0"/>
          <w:sz w:val="22"/>
        </w:rPr>
        <w:t>A Small Town can gain access to capabilities it could never sustain independently. A Trade Center can strengthen the broader market and population upon which its services depend. Rural households can participate in employment, education, healthcare, commerce, professional services, technology, and civic life without unnecessary geographic disadvantage.</w:t>
      </w:r>
    </w:p>
    <w:p>
      <w:pPr>
        <w:widowControl/>
      </w:pPr>
      <w:r>
        <w:rPr>
          <w:rFonts w:ascii="Times New Roman" w:hAnsi="Times New Roman"/>
          <w:i w:val="0"/>
          <w:sz w:val="22"/>
        </w:rPr>
        <w:t>The Community determines what it wants to become. The Community Board facilitates those decisions, stewards the resulting priorities, and acts upon them. The IAC supplies scale, information, services, relationships, analytical capability, and investment coordination. The Lens provides the digital interface. The TeleCenter provides the physical and operating capability that helps convert those resources into local results.</w:t>
      </w:r>
    </w:p>
    <w:p>
      <w:pPr>
        <w:widowControl/>
      </w:pPr>
      <w:r>
        <w:rPr>
          <w:rFonts w:ascii="Times New Roman" w:hAnsi="Times New Roman"/>
          <w:i w:val="0"/>
          <w:sz w:val="22"/>
        </w:rPr>
        <w:t>And the annual Community process measures whether those efforts are producing a healthier, stronger, more resilient, and more viable place to live.</w:t>
      </w:r>
    </w:p>
    <w:p>
      <w:pPr>
        <w:spacing w:before="160"/>
        <w:jc w:val="center"/>
        <w:widowControl/>
      </w:pPr>
      <w:r>
        <w:rPr>
          <w:rFonts w:ascii="Times New Roman" w:hAnsi="Times New Roman"/>
          <w:b/>
          <w:sz w:val="23"/>
        </w:rPr>
        <w:t>Virtualize what can be virtualized.</w:t>
        <w:br/>
      </w:r>
      <w:r>
        <w:rPr>
          <w:rFonts w:ascii="Times New Roman" w:hAnsi="Times New Roman"/>
          <w:b/>
          <w:sz w:val="23"/>
        </w:rPr>
        <w:t>Distribute what must remain physical.</w:t>
        <w:br/>
      </w:r>
      <w:r>
        <w:rPr>
          <w:rFonts w:ascii="Times New Roman" w:hAnsi="Times New Roman"/>
          <w:b/>
          <w:sz w:val="23"/>
        </w:rPr>
        <w:t>Coordinate both through the IAC network.</w:t>
        <w:br/>
      </w:r>
      <w:r>
        <w:rPr>
          <w:rFonts w:ascii="Times New Roman" w:hAnsi="Times New Roman"/>
          <w:b/>
          <w:sz w:val="23"/>
        </w:rPr>
        <w:t>Keep the Community in control of its own direction.</w:t>
        <w:br/>
      </w:r>
    </w:p>
    <w:p>
      <w:pPr>
        <w:spacing w:before="120"/>
        <w:jc w:val="center"/>
        <w:widowControl/>
      </w:pPr>
      <w:r>
        <w:rPr>
          <w:rFonts w:ascii="Times New Roman" w:hAnsi="Times New Roman"/>
          <w:sz w:val="18"/>
        </w:rPr>
        <w:t>Explore the IAC: The TeleCenter | Community Alliance | Governance | Mobility &amp; Access | Community Voice | Visioning | The Lens | Viability Index | Workforce Virtualization</w:t>
      </w:r>
    </w:p>
    <w:sectPr w:rsidR="00FC693F" w:rsidRPr="0006063C" w:rsidSect="00034616">
      <w:footerReference w:type="default" r:id="rId9"/>
      <w:headerReference w:type="default" r:id="rId11"/>
      <w:pgSz w:w="15840" w:h="12240" w:orient="landscape"/>
      <w:pgMar w:top="691" w:right="792" w:bottom="720" w:left="792" w:header="259"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6464"/>
        <w:sz w:val="16"/>
      </w:rPr>
      <w:t>© 2026 Tele-Commuter Resources, Inc. | Information Age Community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color w:val="173F73"/>
        <w:sz w:val="17"/>
      </w:rPr>
      <w:t>INFORMATION AGE COMMUNITY | THE IAC TELECENTER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Times New Roman" w:hAnsi="Times New Roman" w:eastAsia="Times New Roman"/>
      <w:b/>
      <w:bCs/>
      <w:color w:val="173F73"/>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Times New Roman" w:hAnsi="Times New Roman" w:eastAsia="Times New Roman"/>
      <w:b/>
      <w:bCs/>
      <w:color w:val="245A92"/>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Times New Roman" w:hAnsi="Times New Roman" w:eastAsia="Times New Roman"/>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Numbered">
    <w:name w:val="Compact Numbered"/>
    <w:pPr>
      <w:spacing w:before="0" w:after="20" w:line="240" w:lineRule="auto"/>
      <w:ind w:left="317" w:hanging="259"/>
    </w:pPr>
    <w:rPr>
      <w:rFonts w:ascii="Times New Roman" w:hAnsi="Times New Roman" w:eastAsia="Times New Roman"/>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IAC TeleCenter — Working Draft</dc:title>
  <dc:subject>Information Age Community TeleCenter concept</dc:subject>
  <dc:creator>Tele-Commuter Resources, Inc.</dc:creator>
  <cp:keywords/>
  <dc:description>Historical working draft dated August 20, 2026.</dc:description>
  <cp:lastModifiedBy/>
  <cp:revision>1</cp:revision>
  <dcterms:created xsi:type="dcterms:W3CDTF">2013-12-23T23:15:00Z</dcterms:created>
  <dcterms:modified xsi:type="dcterms:W3CDTF">2013-12-23T23:15:00Z</dcterms:modified>
  <cp:category/>
</cp:coreProperties>
</file>