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119AD" w14:textId="77777777" w:rsidR="003918FD" w:rsidRPr="003A1216" w:rsidRDefault="00000000" w:rsidP="003A1216">
      <w:pPr>
        <w:pStyle w:val="Title"/>
        <w:spacing w:after="0"/>
        <w:jc w:val="center"/>
        <w:rPr>
          <w:rFonts w:ascii="Times New Roman" w:hAnsi="Times New Roman" w:cs="Times New Roman"/>
          <w:color w:val="000000" w:themeColor="text1"/>
        </w:rPr>
      </w:pPr>
      <w:r w:rsidRPr="003A1216">
        <w:rPr>
          <w:rFonts w:ascii="Times New Roman" w:hAnsi="Times New Roman" w:cs="Times New Roman"/>
          <w:color w:val="000000" w:themeColor="text1"/>
        </w:rPr>
        <w:t>WORKFORCE VIRTUALIZATION PROGRAM</w:t>
      </w:r>
    </w:p>
    <w:p w14:paraId="6102E50D" w14:textId="77777777" w:rsidR="003918FD" w:rsidRPr="003A1216" w:rsidRDefault="00000000" w:rsidP="003A1216">
      <w:pPr>
        <w:pStyle w:val="Subtitle"/>
        <w:spacing w:after="0"/>
        <w:jc w:val="center"/>
        <w:rPr>
          <w:rFonts w:ascii="Times New Roman" w:hAnsi="Times New Roman" w:cs="Times New Roman"/>
          <w:color w:val="000000" w:themeColor="text1"/>
        </w:rPr>
      </w:pPr>
      <w:r w:rsidRPr="003A1216">
        <w:rPr>
          <w:rFonts w:ascii="Times New Roman" w:hAnsi="Times New Roman" w:cs="Times New Roman"/>
          <w:color w:val="000000" w:themeColor="text1"/>
        </w:rPr>
        <w:t>Redesigning Work. Strengthening Organizations. Expanding Opportunity.</w:t>
      </w:r>
    </w:p>
    <w:tbl>
      <w:tblPr>
        <w:tblW w:w="14994" w:type="dxa"/>
        <w:jc w:val="center"/>
        <w:tblLayout w:type="fixed"/>
        <w:tblLook w:val="04A0" w:firstRow="1" w:lastRow="0" w:firstColumn="1" w:lastColumn="0" w:noHBand="0" w:noVBand="1"/>
      </w:tblPr>
      <w:tblGrid>
        <w:gridCol w:w="8010"/>
        <w:gridCol w:w="6984"/>
      </w:tblGrid>
      <w:tr w:rsidR="003918FD" w14:paraId="0AE80AD4" w14:textId="77777777" w:rsidTr="00490043">
        <w:trPr>
          <w:jc w:val="center"/>
        </w:trPr>
        <w:tc>
          <w:tcPr>
            <w:tcW w:w="8010" w:type="dxa"/>
            <w:tcBorders>
              <w:top w:val="nil"/>
              <w:left w:val="nil"/>
              <w:bottom w:val="nil"/>
              <w:right w:val="nil"/>
            </w:tcBorders>
          </w:tcPr>
          <w:p w14:paraId="471A1072" w14:textId="77777777" w:rsidR="003918FD" w:rsidRPr="003A1216" w:rsidRDefault="00000000">
            <w:pPr>
              <w:pStyle w:val="Heading2"/>
              <w:spacing w:before="80" w:after="40"/>
              <w:rPr>
                <w:rFonts w:ascii="Times New Roman" w:hAnsi="Times New Roman" w:cs="Times New Roman"/>
                <w:color w:val="000000" w:themeColor="text1"/>
                <w:sz w:val="28"/>
                <w:szCs w:val="28"/>
              </w:rPr>
            </w:pPr>
            <w:r w:rsidRPr="003A1216">
              <w:rPr>
                <w:rFonts w:ascii="Times New Roman" w:hAnsi="Times New Roman" w:cs="Times New Roman"/>
                <w:color w:val="000000" w:themeColor="text1"/>
                <w:sz w:val="28"/>
                <w:szCs w:val="28"/>
              </w:rPr>
              <w:t>THE PURPOSE</w:t>
            </w:r>
          </w:p>
          <w:p w14:paraId="4DF5AE65" w14:textId="77777777" w:rsidR="003918FD" w:rsidRPr="00490043" w:rsidRDefault="00000000" w:rsidP="00490043">
            <w:pPr>
              <w:spacing w:after="80" w:line="245" w:lineRule="auto"/>
              <w:ind w:right="-1516"/>
              <w:rPr>
                <w:sz w:val="24"/>
                <w:szCs w:val="24"/>
              </w:rPr>
            </w:pPr>
            <w:r w:rsidRPr="00490043">
              <w:rPr>
                <w:sz w:val="24"/>
                <w:szCs w:val="24"/>
              </w:rPr>
              <w:t>The Workforce Virtualization Program (WVP) is an enterprise transformation system that uses workforce virtualization as the design lever. It asks what work actually requires physical presence, what can be performed virtually, and how the organization should redesign management, facilities, technology, continuity, finance, procurement, travel demand, and performance around that answer.</w:t>
            </w:r>
          </w:p>
          <w:p w14:paraId="65302F62" w14:textId="77777777" w:rsidR="003918FD" w:rsidRPr="003A1216" w:rsidRDefault="00000000" w:rsidP="00490043">
            <w:pPr>
              <w:pStyle w:val="Heading2"/>
              <w:spacing w:before="80" w:after="40"/>
              <w:ind w:right="-1516"/>
              <w:rPr>
                <w:rFonts w:ascii="Times New Roman" w:hAnsi="Times New Roman" w:cs="Times New Roman"/>
                <w:sz w:val="28"/>
                <w:szCs w:val="28"/>
              </w:rPr>
            </w:pPr>
            <w:r w:rsidRPr="003A1216">
              <w:rPr>
                <w:rFonts w:ascii="Times New Roman" w:hAnsi="Times New Roman" w:cs="Times New Roman"/>
                <w:color w:val="000000" w:themeColor="text1"/>
                <w:sz w:val="28"/>
                <w:szCs w:val="28"/>
              </w:rPr>
              <w:t>THE APPROACH</w:t>
            </w:r>
          </w:p>
          <w:p w14:paraId="0496A284" w14:textId="77777777" w:rsidR="003918FD" w:rsidRPr="00490043" w:rsidRDefault="00000000" w:rsidP="00490043">
            <w:pPr>
              <w:spacing w:after="80" w:line="245" w:lineRule="auto"/>
              <w:ind w:right="-1516"/>
              <w:rPr>
                <w:sz w:val="24"/>
                <w:szCs w:val="24"/>
              </w:rPr>
            </w:pPr>
            <w:r w:rsidRPr="00490043">
              <w:rPr>
                <w:sz w:val="24"/>
                <w:szCs w:val="24"/>
              </w:rPr>
              <w:t>WVP is not a work-from-home policy. It begins with Job Class and organizational analysis, tests feasibility, mitigates barriers, models alternative operating scenarios, selects a Master Scenario, builds an integrated Deployment Plan, implements it in controlled cycles, and monitors actual results against the plan.</w:t>
            </w:r>
          </w:p>
          <w:p w14:paraId="21E54240" w14:textId="77777777" w:rsidR="003918FD" w:rsidRPr="003A1216" w:rsidRDefault="00000000" w:rsidP="00490043">
            <w:pPr>
              <w:pStyle w:val="Heading2"/>
              <w:spacing w:before="80" w:after="40"/>
              <w:ind w:right="-1516"/>
              <w:rPr>
                <w:rFonts w:ascii="Times New Roman" w:hAnsi="Times New Roman" w:cs="Times New Roman"/>
                <w:color w:val="000000" w:themeColor="text1"/>
                <w:sz w:val="28"/>
                <w:szCs w:val="28"/>
              </w:rPr>
            </w:pPr>
            <w:r w:rsidRPr="003A1216">
              <w:rPr>
                <w:rFonts w:ascii="Times New Roman" w:hAnsi="Times New Roman" w:cs="Times New Roman"/>
                <w:color w:val="000000" w:themeColor="text1"/>
                <w:sz w:val="28"/>
                <w:szCs w:val="28"/>
              </w:rPr>
              <w:t>THE STRATEGIC OUTCOMES</w:t>
            </w:r>
          </w:p>
          <w:p w14:paraId="732B4FBD" w14:textId="77777777" w:rsidR="003918FD" w:rsidRPr="00490043" w:rsidRDefault="00000000" w:rsidP="00490043">
            <w:pPr>
              <w:pStyle w:val="CompactBullet"/>
              <w:ind w:right="-1516"/>
              <w:rPr>
                <w:sz w:val="24"/>
                <w:szCs w:val="24"/>
              </w:rPr>
            </w:pPr>
            <w:r w:rsidRPr="00490043">
              <w:rPr>
                <w:sz w:val="24"/>
                <w:szCs w:val="24"/>
              </w:rPr>
              <w:t>• Operational performance — right-sized facilities, stronger management systems, and measurable productivity</w:t>
            </w:r>
            <w:r w:rsidR="00490043" w:rsidRPr="00490043">
              <w:rPr>
                <w:sz w:val="24"/>
                <w:szCs w:val="24"/>
              </w:rPr>
              <w:t xml:space="preserve"> w/ six levels of evaluation</w:t>
            </w:r>
          </w:p>
          <w:p w14:paraId="5F9EF23B" w14:textId="77777777" w:rsidR="003918FD" w:rsidRPr="00490043" w:rsidRDefault="00000000" w:rsidP="00490043">
            <w:pPr>
              <w:pStyle w:val="CompactBullet"/>
              <w:ind w:right="-1516"/>
              <w:rPr>
                <w:sz w:val="24"/>
                <w:szCs w:val="24"/>
              </w:rPr>
            </w:pPr>
            <w:r w:rsidRPr="00490043">
              <w:rPr>
                <w:sz w:val="24"/>
                <w:szCs w:val="24"/>
              </w:rPr>
              <w:t>• Financial performance — lower operating costs, clearer capital decisions, and measurable return on investment.</w:t>
            </w:r>
          </w:p>
          <w:p w14:paraId="6FBFA2EA" w14:textId="77777777" w:rsidR="003918FD" w:rsidRPr="00490043" w:rsidRDefault="00000000" w:rsidP="00490043">
            <w:pPr>
              <w:pStyle w:val="CompactBullet"/>
              <w:ind w:right="-1516"/>
              <w:rPr>
                <w:sz w:val="24"/>
                <w:szCs w:val="24"/>
              </w:rPr>
            </w:pPr>
            <w:r w:rsidRPr="00490043">
              <w:rPr>
                <w:sz w:val="24"/>
                <w:szCs w:val="24"/>
              </w:rPr>
              <w:t>• Continuity and resilience — geographically distributed continuity capability that is exercised through normal operations.</w:t>
            </w:r>
            <w:r w:rsidR="00490043" w:rsidRPr="00490043">
              <w:rPr>
                <w:sz w:val="24"/>
                <w:szCs w:val="24"/>
              </w:rPr>
              <w:t xml:space="preserve"> Tested daily</w:t>
            </w:r>
          </w:p>
          <w:p w14:paraId="25D9D0EA" w14:textId="77777777" w:rsidR="003918FD" w:rsidRPr="00490043" w:rsidRDefault="00000000" w:rsidP="00490043">
            <w:pPr>
              <w:pStyle w:val="CompactBullet"/>
              <w:ind w:right="-1516"/>
              <w:rPr>
                <w:sz w:val="24"/>
                <w:szCs w:val="24"/>
              </w:rPr>
            </w:pPr>
            <w:r w:rsidRPr="00490043">
              <w:rPr>
                <w:sz w:val="24"/>
                <w:szCs w:val="24"/>
              </w:rPr>
              <w:t>• Workforce and Community flexibility — greater freedom of residential choice, stronger talent access, and reduced commuting demand.</w:t>
            </w:r>
          </w:p>
          <w:p w14:paraId="303055AF" w14:textId="77777777" w:rsidR="003918FD" w:rsidRPr="003A1216" w:rsidRDefault="00000000" w:rsidP="00490043">
            <w:pPr>
              <w:pStyle w:val="Heading2"/>
              <w:spacing w:before="80" w:after="40"/>
              <w:ind w:right="-1516"/>
              <w:rPr>
                <w:rFonts w:ascii="Times New Roman" w:hAnsi="Times New Roman" w:cs="Times New Roman"/>
                <w:sz w:val="28"/>
                <w:szCs w:val="28"/>
              </w:rPr>
            </w:pPr>
            <w:r w:rsidRPr="003A1216">
              <w:rPr>
                <w:rFonts w:ascii="Times New Roman" w:hAnsi="Times New Roman" w:cs="Times New Roman"/>
                <w:color w:val="000000" w:themeColor="text1"/>
                <w:sz w:val="28"/>
                <w:szCs w:val="28"/>
              </w:rPr>
              <w:t>THE MPO CONNECTION</w:t>
            </w:r>
          </w:p>
          <w:p w14:paraId="4953E8A6" w14:textId="77777777" w:rsidR="003918FD" w:rsidRDefault="00000000" w:rsidP="00490043">
            <w:pPr>
              <w:spacing w:after="80" w:line="245" w:lineRule="auto"/>
              <w:ind w:right="-1516"/>
            </w:pPr>
            <w:r w:rsidRPr="00490043">
              <w:rPr>
                <w:sz w:val="24"/>
                <w:szCs w:val="24"/>
              </w:rPr>
              <w:t xml:space="preserve">Workforce deployment changes where and when trips occur, how much office space is required, where employment is concentrated, and how resilient a region is to disruption. </w:t>
            </w:r>
            <w:r w:rsidR="00490043" w:rsidRPr="00490043">
              <w:rPr>
                <w:sz w:val="24"/>
                <w:szCs w:val="24"/>
              </w:rPr>
              <w:t xml:space="preserve">The IAC generates numerous reports and protects employer confidentiality.  The Metro report provides the </w:t>
            </w:r>
            <w:r w:rsidRPr="00490043">
              <w:rPr>
                <w:sz w:val="24"/>
                <w:szCs w:val="24"/>
              </w:rPr>
              <w:t xml:space="preserve">Metropolitan Planning Organizations </w:t>
            </w:r>
            <w:r w:rsidR="00490043" w:rsidRPr="00490043">
              <w:rPr>
                <w:sz w:val="24"/>
                <w:szCs w:val="24"/>
              </w:rPr>
              <w:t xml:space="preserve">with a </w:t>
            </w:r>
            <w:proofErr w:type="spellStart"/>
            <w:r w:rsidRPr="00490043">
              <w:rPr>
                <w:sz w:val="24"/>
                <w:szCs w:val="24"/>
              </w:rPr>
              <w:t>a</w:t>
            </w:r>
            <w:proofErr w:type="spellEnd"/>
            <w:r w:rsidRPr="00490043">
              <w:rPr>
                <w:sz w:val="24"/>
                <w:szCs w:val="24"/>
              </w:rPr>
              <w:t xml:space="preserve"> standardized employer-side source of travel-demand and facility intelligence for scenario planning, transportation investment, resilience analysis, and long-range regional forecasts.</w:t>
            </w:r>
          </w:p>
        </w:tc>
        <w:tc>
          <w:tcPr>
            <w:tcW w:w="6984" w:type="dxa"/>
            <w:tcBorders>
              <w:top w:val="nil"/>
              <w:left w:val="nil"/>
              <w:bottom w:val="nil"/>
              <w:right w:val="nil"/>
            </w:tcBorders>
          </w:tcPr>
          <w:p w14:paraId="33110C7C" w14:textId="77777777" w:rsidR="003918FD" w:rsidRDefault="003918FD"/>
          <w:p w14:paraId="3018C544" w14:textId="77777777" w:rsidR="003918FD" w:rsidRDefault="00000000">
            <w:pPr>
              <w:jc w:val="center"/>
            </w:pPr>
            <w:r>
              <w:rPr>
                <w:noProof/>
              </w:rPr>
              <w:drawing>
                <wp:inline distT="0" distB="0" distL="0" distR="0" wp14:anchorId="24C92ED1" wp14:editId="5515C2AB">
                  <wp:extent cx="4107734" cy="2833817"/>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VP_Core_Process_Graphic.png"/>
                          <pic:cNvPicPr/>
                        </pic:nvPicPr>
                        <pic:blipFill>
                          <a:blip r:embed="rId8"/>
                          <a:stretch>
                            <a:fillRect/>
                          </a:stretch>
                        </pic:blipFill>
                        <pic:spPr>
                          <a:xfrm>
                            <a:off x="0" y="0"/>
                            <a:ext cx="4143700" cy="2858629"/>
                          </a:xfrm>
                          <a:prstGeom prst="rect">
                            <a:avLst/>
                          </a:prstGeom>
                        </pic:spPr>
                      </pic:pic>
                    </a:graphicData>
                  </a:graphic>
                </wp:inline>
              </w:drawing>
            </w:r>
          </w:p>
          <w:p w14:paraId="4154A1D6" w14:textId="77777777" w:rsidR="003918FD" w:rsidRDefault="00000000">
            <w:pPr>
              <w:jc w:val="center"/>
            </w:pPr>
            <w:r>
              <w:rPr>
                <w:b/>
                <w:color w:val="16386E"/>
                <w:sz w:val="22"/>
              </w:rPr>
              <w:t>Assess → Optimize → Plan → Deploy → Monitor</w:t>
            </w:r>
          </w:p>
          <w:p w14:paraId="66D16A4D" w14:textId="77777777" w:rsidR="003918FD" w:rsidRDefault="00000000" w:rsidP="00490043">
            <w:pPr>
              <w:ind w:left="858" w:right="334"/>
              <w:jc w:val="center"/>
            </w:pPr>
            <w:r>
              <w:rPr>
                <w:i/>
                <w:sz w:val="18"/>
              </w:rPr>
              <w:t>The Deployment Plan becomes the common source of truth across HR, facilities, technology, finance, continuity, procurement, and transportation.</w:t>
            </w:r>
          </w:p>
        </w:tc>
      </w:tr>
    </w:tbl>
    <w:p w14:paraId="02F42E5A" w14:textId="77777777" w:rsidR="003918FD" w:rsidRDefault="003918FD">
      <w:pPr>
        <w:pageBreakBefore/>
      </w:pPr>
    </w:p>
    <w:p w14:paraId="6CA2E32C" w14:textId="77777777" w:rsidR="003918FD" w:rsidRPr="003A1216" w:rsidRDefault="00000000" w:rsidP="003A1216">
      <w:pPr>
        <w:pStyle w:val="Title"/>
        <w:spacing w:after="0"/>
        <w:jc w:val="center"/>
        <w:rPr>
          <w:rFonts w:ascii="Times New Roman" w:hAnsi="Times New Roman" w:cs="Times New Roman"/>
          <w:color w:val="000000" w:themeColor="text1"/>
          <w:sz w:val="32"/>
          <w:szCs w:val="32"/>
        </w:rPr>
      </w:pPr>
      <w:r w:rsidRPr="003A1216">
        <w:rPr>
          <w:rFonts w:ascii="Times New Roman" w:hAnsi="Times New Roman" w:cs="Times New Roman"/>
          <w:color w:val="000000" w:themeColor="text1"/>
          <w:sz w:val="32"/>
          <w:szCs w:val="32"/>
        </w:rPr>
        <w:t>WORKFORCE VIRTUALIZATION PROGRAM</w:t>
      </w:r>
    </w:p>
    <w:p w14:paraId="3FF1FCD5" w14:textId="77777777" w:rsidR="003918FD" w:rsidRPr="003A1216" w:rsidRDefault="00000000" w:rsidP="003A1216">
      <w:pPr>
        <w:pStyle w:val="Subtitle"/>
        <w:spacing w:after="0"/>
        <w:jc w:val="center"/>
        <w:rPr>
          <w:rFonts w:ascii="Times New Roman" w:hAnsi="Times New Roman" w:cs="Times New Roman"/>
          <w:b/>
          <w:color w:val="000000" w:themeColor="text1"/>
          <w:sz w:val="28"/>
          <w:szCs w:val="28"/>
        </w:rPr>
      </w:pPr>
      <w:r w:rsidRPr="003A1216">
        <w:rPr>
          <w:rFonts w:ascii="Times New Roman" w:hAnsi="Times New Roman" w:cs="Times New Roman"/>
          <w:b/>
          <w:color w:val="000000" w:themeColor="text1"/>
          <w:sz w:val="28"/>
          <w:szCs w:val="28"/>
        </w:rPr>
        <w:t>The Strategic Architecture for Virtual Work, Continuity, and Regional Intelligence</w:t>
      </w:r>
    </w:p>
    <w:p w14:paraId="61D75D1B" w14:textId="77777777" w:rsidR="003A1216" w:rsidRPr="003A1216" w:rsidRDefault="003A1216" w:rsidP="003A1216"/>
    <w:p w14:paraId="417D4CDF" w14:textId="77777777" w:rsidR="003918FD" w:rsidRPr="003A1216" w:rsidRDefault="00000000">
      <w:pPr>
        <w:pStyle w:val="Heading1"/>
        <w:spacing w:before="160" w:after="80"/>
        <w:rPr>
          <w:rFonts w:ascii="Times New Roman" w:hAnsi="Times New Roman" w:cs="Times New Roman"/>
          <w:color w:val="000000" w:themeColor="text1"/>
        </w:rPr>
      </w:pPr>
      <w:r w:rsidRPr="003A1216">
        <w:rPr>
          <w:rFonts w:ascii="Times New Roman" w:hAnsi="Times New Roman" w:cs="Times New Roman"/>
          <w:color w:val="000000" w:themeColor="text1"/>
        </w:rPr>
        <w:t>I. PURPOSE — VIRTUALIZE THE WORK, NOT JUST THE WORKER</w:t>
      </w:r>
    </w:p>
    <w:p w14:paraId="7EFAEA83" w14:textId="77777777" w:rsidR="003918FD" w:rsidRPr="00490043" w:rsidRDefault="00000000">
      <w:pPr>
        <w:spacing w:after="100" w:line="247" w:lineRule="auto"/>
        <w:rPr>
          <w:sz w:val="24"/>
          <w:szCs w:val="24"/>
        </w:rPr>
      </w:pPr>
      <w:r w:rsidRPr="00490043">
        <w:rPr>
          <w:sz w:val="24"/>
          <w:szCs w:val="24"/>
        </w:rPr>
        <w:t>The Workforce Virtualization Program is designed to help an organization determine what physical presence is actually required by the work and then redesign the enterprise around that requirement. Its premise is simple: do not begin by deciding who is “remote.” Begin with the work, the operating objectives, and the organization’s ability to support a distributed operating model.</w:t>
      </w:r>
    </w:p>
    <w:p w14:paraId="7B03AC2E" w14:textId="77777777" w:rsidR="003918FD" w:rsidRPr="00490043" w:rsidRDefault="00000000">
      <w:pPr>
        <w:spacing w:after="100" w:line="247" w:lineRule="auto"/>
        <w:rPr>
          <w:sz w:val="24"/>
          <w:szCs w:val="24"/>
        </w:rPr>
      </w:pPr>
      <w:r w:rsidRPr="00490043">
        <w:rPr>
          <w:sz w:val="24"/>
          <w:szCs w:val="24"/>
        </w:rPr>
        <w:t>That distinction separates WVP from ad hoc telework. A conventional program often begins with policy, employee requests, or attendance schedules. WVP begins with evidence, creates an operating model, and then develops policies, facilities, technology, training, continuity, and budgets to support the selected model.</w:t>
      </w:r>
    </w:p>
    <w:p w14:paraId="56F16602" w14:textId="77777777" w:rsidR="003918FD" w:rsidRPr="003A1216" w:rsidRDefault="00000000">
      <w:pPr>
        <w:pStyle w:val="Heading1"/>
        <w:spacing w:before="160" w:after="80"/>
        <w:rPr>
          <w:rFonts w:ascii="Times New Roman" w:hAnsi="Times New Roman" w:cs="Times New Roman"/>
          <w:color w:val="000000" w:themeColor="text1"/>
        </w:rPr>
      </w:pPr>
      <w:r w:rsidRPr="003A1216">
        <w:rPr>
          <w:rFonts w:ascii="Times New Roman" w:hAnsi="Times New Roman" w:cs="Times New Roman"/>
          <w:color w:val="000000" w:themeColor="text1"/>
        </w:rPr>
        <w:t>II. THE SIX-PHASE WVP ARCHITECTURE</w:t>
      </w:r>
    </w:p>
    <w:tbl>
      <w:tblPr>
        <w:tblW w:w="0" w:type="auto"/>
        <w:jc w:val="center"/>
        <w:tblLayout w:type="fixed"/>
        <w:tblLook w:val="04A0" w:firstRow="1" w:lastRow="0" w:firstColumn="1" w:lastColumn="0" w:noHBand="0" w:noVBand="1"/>
      </w:tblPr>
      <w:tblGrid>
        <w:gridCol w:w="4656"/>
        <w:gridCol w:w="8352"/>
        <w:gridCol w:w="4656"/>
      </w:tblGrid>
      <w:tr w:rsidR="003918FD" w14:paraId="01A8191C" w14:textId="77777777">
        <w:trPr>
          <w:jc w:val="center"/>
        </w:trPr>
        <w:tc>
          <w:tcPr>
            <w:tcW w:w="4656" w:type="dxa"/>
            <w:shd w:val="clear" w:color="auto" w:fill="16386E"/>
            <w:vAlign w:val="center"/>
          </w:tcPr>
          <w:p w14:paraId="05E339F7" w14:textId="77777777" w:rsidR="003918FD" w:rsidRDefault="00490043" w:rsidP="00490043">
            <w:pPr>
              <w:ind w:left="1198"/>
            </w:pPr>
            <w:r>
              <w:rPr>
                <w:b/>
                <w:color w:val="FFFFFF"/>
                <w:sz w:val="19"/>
              </w:rPr>
              <w:t xml:space="preserve">                               Phase</w:t>
            </w:r>
          </w:p>
        </w:tc>
        <w:tc>
          <w:tcPr>
            <w:tcW w:w="4656" w:type="dxa"/>
            <w:shd w:val="clear" w:color="auto" w:fill="16386E"/>
            <w:vAlign w:val="center"/>
          </w:tcPr>
          <w:p w14:paraId="79336708" w14:textId="77777777" w:rsidR="003918FD" w:rsidRDefault="00490043">
            <w:r>
              <w:rPr>
                <w:b/>
                <w:color w:val="FFFFFF"/>
                <w:sz w:val="19"/>
              </w:rPr>
              <w:t xml:space="preserve">                                                               Primary Function</w:t>
            </w:r>
          </w:p>
        </w:tc>
        <w:tc>
          <w:tcPr>
            <w:tcW w:w="4656" w:type="dxa"/>
            <w:shd w:val="clear" w:color="auto" w:fill="16386E"/>
            <w:vAlign w:val="center"/>
          </w:tcPr>
          <w:p w14:paraId="4404A7D9" w14:textId="77777777" w:rsidR="003918FD" w:rsidRDefault="00490043">
            <w:r>
              <w:rPr>
                <w:b/>
                <w:color w:val="FFFFFF"/>
                <w:sz w:val="19"/>
              </w:rPr>
              <w:t xml:space="preserve">                  Primary Output</w:t>
            </w:r>
          </w:p>
        </w:tc>
      </w:tr>
      <w:tr w:rsidR="003918FD" w14:paraId="190EF249" w14:textId="77777777">
        <w:trPr>
          <w:jc w:val="center"/>
        </w:trPr>
        <w:tc>
          <w:tcPr>
            <w:tcW w:w="2520" w:type="dxa"/>
            <w:vAlign w:val="center"/>
          </w:tcPr>
          <w:p w14:paraId="28D80284" w14:textId="77777777" w:rsidR="003918FD" w:rsidRPr="00490043" w:rsidRDefault="00000000" w:rsidP="00490043">
            <w:pPr>
              <w:numPr>
                <w:ilvl w:val="0"/>
                <w:numId w:val="10"/>
              </w:numPr>
              <w:spacing w:after="20" w:line="240" w:lineRule="auto"/>
              <w:ind w:left="2098"/>
              <w:rPr>
                <w:sz w:val="24"/>
                <w:szCs w:val="24"/>
              </w:rPr>
            </w:pPr>
            <w:r w:rsidRPr="00490043">
              <w:rPr>
                <w:sz w:val="24"/>
                <w:szCs w:val="24"/>
              </w:rPr>
              <w:t>Assessment &amp; Profiling</w:t>
            </w:r>
          </w:p>
        </w:tc>
        <w:tc>
          <w:tcPr>
            <w:tcW w:w="8352" w:type="dxa"/>
            <w:vAlign w:val="center"/>
          </w:tcPr>
          <w:p w14:paraId="01E55667" w14:textId="77777777" w:rsidR="003918FD" w:rsidRPr="00490043" w:rsidRDefault="00000000">
            <w:pPr>
              <w:spacing w:after="20" w:line="240" w:lineRule="auto"/>
              <w:rPr>
                <w:sz w:val="24"/>
                <w:szCs w:val="24"/>
              </w:rPr>
            </w:pPr>
            <w:r w:rsidRPr="00490043">
              <w:rPr>
                <w:sz w:val="24"/>
                <w:szCs w:val="24"/>
              </w:rPr>
              <w:t>Evaluate Job Classes, management readiness, facilities, technology, economics, continuity, employee compatibility, and Community/travel effects.</w:t>
            </w:r>
          </w:p>
        </w:tc>
        <w:tc>
          <w:tcPr>
            <w:tcW w:w="3456" w:type="dxa"/>
            <w:vAlign w:val="center"/>
          </w:tcPr>
          <w:p w14:paraId="5630613B" w14:textId="77777777" w:rsidR="003918FD" w:rsidRPr="00490043" w:rsidRDefault="00000000" w:rsidP="00490043">
            <w:pPr>
              <w:spacing w:after="20" w:line="240" w:lineRule="auto"/>
              <w:ind w:right="1220"/>
              <w:rPr>
                <w:sz w:val="24"/>
                <w:szCs w:val="24"/>
              </w:rPr>
            </w:pPr>
            <w:r w:rsidRPr="00490043">
              <w:rPr>
                <w:sz w:val="24"/>
                <w:szCs w:val="24"/>
              </w:rPr>
              <w:t>Evidence-based virtualization baseline.</w:t>
            </w:r>
          </w:p>
        </w:tc>
      </w:tr>
      <w:tr w:rsidR="003918FD" w14:paraId="28A0E81C" w14:textId="77777777">
        <w:trPr>
          <w:jc w:val="center"/>
        </w:trPr>
        <w:tc>
          <w:tcPr>
            <w:tcW w:w="2520" w:type="dxa"/>
            <w:vAlign w:val="center"/>
          </w:tcPr>
          <w:p w14:paraId="6D71A525" w14:textId="77777777" w:rsidR="003918FD" w:rsidRPr="00490043" w:rsidRDefault="00000000" w:rsidP="00490043">
            <w:pPr>
              <w:numPr>
                <w:ilvl w:val="0"/>
                <w:numId w:val="10"/>
              </w:numPr>
              <w:spacing w:after="20" w:line="240" w:lineRule="auto"/>
              <w:ind w:left="2098"/>
              <w:rPr>
                <w:sz w:val="24"/>
                <w:szCs w:val="24"/>
              </w:rPr>
            </w:pPr>
            <w:r w:rsidRPr="00490043">
              <w:rPr>
                <w:sz w:val="24"/>
                <w:szCs w:val="24"/>
              </w:rPr>
              <w:t>Mitigation Investment Analysis</w:t>
            </w:r>
          </w:p>
        </w:tc>
        <w:tc>
          <w:tcPr>
            <w:tcW w:w="8352" w:type="dxa"/>
            <w:vAlign w:val="center"/>
          </w:tcPr>
          <w:p w14:paraId="3BD97959" w14:textId="77777777" w:rsidR="003918FD" w:rsidRPr="00490043" w:rsidRDefault="00000000">
            <w:pPr>
              <w:spacing w:after="20" w:line="240" w:lineRule="auto"/>
              <w:rPr>
                <w:sz w:val="24"/>
                <w:szCs w:val="24"/>
              </w:rPr>
            </w:pPr>
            <w:r w:rsidRPr="00490043">
              <w:rPr>
                <w:sz w:val="24"/>
                <w:szCs w:val="24"/>
              </w:rPr>
              <w:t>Identify barriers and evaluate cost-effective mitigations that can expand practical virtualization potential.</w:t>
            </w:r>
          </w:p>
        </w:tc>
        <w:tc>
          <w:tcPr>
            <w:tcW w:w="3456" w:type="dxa"/>
            <w:vAlign w:val="center"/>
          </w:tcPr>
          <w:p w14:paraId="21111D61" w14:textId="77777777" w:rsidR="003918FD" w:rsidRPr="00490043" w:rsidRDefault="00000000" w:rsidP="00490043">
            <w:pPr>
              <w:spacing w:after="20" w:line="240" w:lineRule="auto"/>
              <w:ind w:right="1220"/>
              <w:rPr>
                <w:sz w:val="24"/>
                <w:szCs w:val="24"/>
              </w:rPr>
            </w:pPr>
            <w:r w:rsidRPr="00490043">
              <w:rPr>
                <w:sz w:val="24"/>
                <w:szCs w:val="24"/>
              </w:rPr>
              <w:t>Expanded feasible deployment.</w:t>
            </w:r>
          </w:p>
        </w:tc>
      </w:tr>
      <w:tr w:rsidR="003918FD" w14:paraId="17E48079" w14:textId="77777777">
        <w:trPr>
          <w:jc w:val="center"/>
        </w:trPr>
        <w:tc>
          <w:tcPr>
            <w:tcW w:w="2520" w:type="dxa"/>
            <w:vAlign w:val="center"/>
          </w:tcPr>
          <w:p w14:paraId="3FF533CB" w14:textId="77777777" w:rsidR="003918FD" w:rsidRPr="00490043" w:rsidRDefault="00490043" w:rsidP="00490043">
            <w:pPr>
              <w:numPr>
                <w:ilvl w:val="0"/>
                <w:numId w:val="10"/>
              </w:numPr>
              <w:spacing w:after="20" w:line="240" w:lineRule="auto"/>
              <w:ind w:left="2098"/>
              <w:rPr>
                <w:sz w:val="24"/>
                <w:szCs w:val="24"/>
              </w:rPr>
            </w:pPr>
            <w:r>
              <w:rPr>
                <w:sz w:val="24"/>
                <w:szCs w:val="24"/>
              </w:rPr>
              <w:t>S</w:t>
            </w:r>
            <w:r w:rsidRPr="00490043">
              <w:rPr>
                <w:sz w:val="24"/>
                <w:szCs w:val="24"/>
              </w:rPr>
              <w:t>cenario Analysis &amp; Modeling</w:t>
            </w:r>
          </w:p>
        </w:tc>
        <w:tc>
          <w:tcPr>
            <w:tcW w:w="8352" w:type="dxa"/>
            <w:vAlign w:val="center"/>
          </w:tcPr>
          <w:p w14:paraId="3CD0C05F" w14:textId="77777777" w:rsidR="003918FD" w:rsidRPr="00490043" w:rsidRDefault="00000000">
            <w:pPr>
              <w:spacing w:after="20" w:line="240" w:lineRule="auto"/>
              <w:rPr>
                <w:sz w:val="24"/>
                <w:szCs w:val="24"/>
              </w:rPr>
            </w:pPr>
            <w:r w:rsidRPr="00490043">
              <w:rPr>
                <w:sz w:val="24"/>
                <w:szCs w:val="24"/>
              </w:rPr>
              <w:t>Model alternative combinations of deployment, facilities, finance, performance, provisioning, continuity, and travel demand.</w:t>
            </w:r>
          </w:p>
        </w:tc>
        <w:tc>
          <w:tcPr>
            <w:tcW w:w="3456" w:type="dxa"/>
            <w:vAlign w:val="center"/>
          </w:tcPr>
          <w:p w14:paraId="2F70DD3F" w14:textId="77777777" w:rsidR="003918FD" w:rsidRPr="00490043" w:rsidRDefault="00000000" w:rsidP="00490043">
            <w:pPr>
              <w:spacing w:after="20" w:line="240" w:lineRule="auto"/>
              <w:ind w:right="1220"/>
              <w:rPr>
                <w:sz w:val="24"/>
                <w:szCs w:val="24"/>
              </w:rPr>
            </w:pPr>
            <w:r w:rsidRPr="00490043">
              <w:rPr>
                <w:sz w:val="24"/>
                <w:szCs w:val="24"/>
              </w:rPr>
              <w:t>Selected Master Scenario / Deployment target.</w:t>
            </w:r>
          </w:p>
        </w:tc>
      </w:tr>
      <w:tr w:rsidR="003918FD" w14:paraId="362889CB" w14:textId="77777777">
        <w:trPr>
          <w:jc w:val="center"/>
        </w:trPr>
        <w:tc>
          <w:tcPr>
            <w:tcW w:w="2520" w:type="dxa"/>
            <w:vAlign w:val="center"/>
          </w:tcPr>
          <w:p w14:paraId="3421597B" w14:textId="77777777" w:rsidR="003918FD" w:rsidRPr="00490043" w:rsidRDefault="00000000" w:rsidP="00490043">
            <w:pPr>
              <w:numPr>
                <w:ilvl w:val="0"/>
                <w:numId w:val="10"/>
              </w:numPr>
              <w:spacing w:after="20" w:line="240" w:lineRule="auto"/>
              <w:ind w:left="2098"/>
              <w:rPr>
                <w:sz w:val="24"/>
                <w:szCs w:val="24"/>
              </w:rPr>
            </w:pPr>
            <w:r w:rsidRPr="00490043">
              <w:rPr>
                <w:sz w:val="24"/>
                <w:szCs w:val="24"/>
              </w:rPr>
              <w:t>Policy &amp; Deployment Plan</w:t>
            </w:r>
          </w:p>
        </w:tc>
        <w:tc>
          <w:tcPr>
            <w:tcW w:w="8352" w:type="dxa"/>
            <w:vAlign w:val="center"/>
          </w:tcPr>
          <w:p w14:paraId="7E728E02" w14:textId="77777777" w:rsidR="003918FD" w:rsidRPr="00490043" w:rsidRDefault="00000000">
            <w:pPr>
              <w:spacing w:after="20" w:line="240" w:lineRule="auto"/>
              <w:rPr>
                <w:sz w:val="24"/>
                <w:szCs w:val="24"/>
              </w:rPr>
            </w:pPr>
            <w:r w:rsidRPr="00490043">
              <w:rPr>
                <w:sz w:val="24"/>
                <w:szCs w:val="24"/>
              </w:rPr>
              <w:t>Translate the selected scenario into policies, sequencing, standards, responsibilities, schedules, and departmental requirements.</w:t>
            </w:r>
          </w:p>
        </w:tc>
        <w:tc>
          <w:tcPr>
            <w:tcW w:w="3456" w:type="dxa"/>
            <w:vAlign w:val="center"/>
          </w:tcPr>
          <w:p w14:paraId="0BBEEA20" w14:textId="77777777" w:rsidR="003918FD" w:rsidRPr="00490043" w:rsidRDefault="00000000" w:rsidP="00490043">
            <w:pPr>
              <w:spacing w:after="20" w:line="240" w:lineRule="auto"/>
              <w:ind w:right="1220"/>
              <w:rPr>
                <w:sz w:val="24"/>
                <w:szCs w:val="24"/>
              </w:rPr>
            </w:pPr>
            <w:r w:rsidRPr="00490043">
              <w:rPr>
                <w:sz w:val="24"/>
                <w:szCs w:val="24"/>
              </w:rPr>
              <w:t>Coordinated implementation architecture.</w:t>
            </w:r>
          </w:p>
        </w:tc>
      </w:tr>
      <w:tr w:rsidR="003918FD" w14:paraId="4478C1BA" w14:textId="77777777">
        <w:trPr>
          <w:jc w:val="center"/>
        </w:trPr>
        <w:tc>
          <w:tcPr>
            <w:tcW w:w="2520" w:type="dxa"/>
            <w:vAlign w:val="center"/>
          </w:tcPr>
          <w:p w14:paraId="4C3B051D" w14:textId="77777777" w:rsidR="003918FD" w:rsidRPr="00490043" w:rsidRDefault="00000000" w:rsidP="00490043">
            <w:pPr>
              <w:numPr>
                <w:ilvl w:val="0"/>
                <w:numId w:val="10"/>
              </w:numPr>
              <w:spacing w:after="20" w:line="240" w:lineRule="auto"/>
              <w:ind w:left="2098"/>
              <w:rPr>
                <w:sz w:val="24"/>
                <w:szCs w:val="24"/>
              </w:rPr>
            </w:pPr>
            <w:r w:rsidRPr="00490043">
              <w:rPr>
                <w:sz w:val="24"/>
                <w:szCs w:val="24"/>
              </w:rPr>
              <w:t>Implementation</w:t>
            </w:r>
          </w:p>
        </w:tc>
        <w:tc>
          <w:tcPr>
            <w:tcW w:w="8352" w:type="dxa"/>
            <w:vAlign w:val="center"/>
          </w:tcPr>
          <w:p w14:paraId="0F40179C" w14:textId="77777777" w:rsidR="003918FD" w:rsidRPr="00490043" w:rsidRDefault="00000000">
            <w:pPr>
              <w:spacing w:after="20" w:line="240" w:lineRule="auto"/>
              <w:rPr>
                <w:sz w:val="24"/>
                <w:szCs w:val="24"/>
              </w:rPr>
            </w:pPr>
            <w:r w:rsidRPr="00490043">
              <w:rPr>
                <w:sz w:val="24"/>
                <w:szCs w:val="24"/>
              </w:rPr>
              <w:t>Deploy people, convert space, train, provision, inspect, assign continuity roles, and activate each Deployment Cycle.</w:t>
            </w:r>
          </w:p>
        </w:tc>
        <w:tc>
          <w:tcPr>
            <w:tcW w:w="3456" w:type="dxa"/>
            <w:vAlign w:val="center"/>
          </w:tcPr>
          <w:p w14:paraId="28D668A1" w14:textId="77777777" w:rsidR="003918FD" w:rsidRPr="00490043" w:rsidRDefault="00000000" w:rsidP="00490043">
            <w:pPr>
              <w:spacing w:after="20" w:line="240" w:lineRule="auto"/>
              <w:ind w:right="1220"/>
              <w:rPr>
                <w:sz w:val="24"/>
                <w:szCs w:val="24"/>
              </w:rPr>
            </w:pPr>
            <w:r w:rsidRPr="00490043">
              <w:rPr>
                <w:sz w:val="24"/>
                <w:szCs w:val="24"/>
              </w:rPr>
              <w:t>Implemented operating model.</w:t>
            </w:r>
          </w:p>
        </w:tc>
      </w:tr>
      <w:tr w:rsidR="003918FD" w14:paraId="3C940653" w14:textId="77777777">
        <w:trPr>
          <w:jc w:val="center"/>
        </w:trPr>
        <w:tc>
          <w:tcPr>
            <w:tcW w:w="2520" w:type="dxa"/>
            <w:vAlign w:val="center"/>
          </w:tcPr>
          <w:p w14:paraId="67ACE338" w14:textId="77777777" w:rsidR="003918FD" w:rsidRPr="00490043" w:rsidRDefault="00000000" w:rsidP="00490043">
            <w:pPr>
              <w:numPr>
                <w:ilvl w:val="0"/>
                <w:numId w:val="10"/>
              </w:numPr>
              <w:spacing w:after="20" w:line="240" w:lineRule="auto"/>
              <w:ind w:left="2098"/>
              <w:rPr>
                <w:sz w:val="24"/>
                <w:szCs w:val="24"/>
              </w:rPr>
            </w:pPr>
            <w:r w:rsidRPr="00490043">
              <w:rPr>
                <w:sz w:val="24"/>
                <w:szCs w:val="24"/>
              </w:rPr>
              <w:t>Monitoring &amp; Refinement</w:t>
            </w:r>
          </w:p>
        </w:tc>
        <w:tc>
          <w:tcPr>
            <w:tcW w:w="8352" w:type="dxa"/>
            <w:vAlign w:val="center"/>
          </w:tcPr>
          <w:p w14:paraId="6E95D5B3" w14:textId="77777777" w:rsidR="003918FD" w:rsidRPr="00490043" w:rsidRDefault="00000000">
            <w:pPr>
              <w:spacing w:after="20" w:line="240" w:lineRule="auto"/>
              <w:rPr>
                <w:sz w:val="24"/>
                <w:szCs w:val="24"/>
              </w:rPr>
            </w:pPr>
            <w:r w:rsidRPr="00490043">
              <w:rPr>
                <w:sz w:val="24"/>
                <w:szCs w:val="24"/>
              </w:rPr>
              <w:t>Track actual results against the plan, identify variance, refine operations, and report recurring performance.</w:t>
            </w:r>
          </w:p>
        </w:tc>
        <w:tc>
          <w:tcPr>
            <w:tcW w:w="3456" w:type="dxa"/>
            <w:vAlign w:val="center"/>
          </w:tcPr>
          <w:p w14:paraId="0534259F" w14:textId="77777777" w:rsidR="003918FD" w:rsidRPr="00490043" w:rsidRDefault="00000000" w:rsidP="00490043">
            <w:pPr>
              <w:spacing w:after="20" w:line="240" w:lineRule="auto"/>
              <w:ind w:right="1220"/>
              <w:rPr>
                <w:sz w:val="24"/>
                <w:szCs w:val="24"/>
              </w:rPr>
            </w:pPr>
            <w:r w:rsidRPr="00490043">
              <w:rPr>
                <w:sz w:val="24"/>
                <w:szCs w:val="24"/>
              </w:rPr>
              <w:t>Continuous improvement and benchmarking.</w:t>
            </w:r>
          </w:p>
        </w:tc>
      </w:tr>
    </w:tbl>
    <w:p w14:paraId="15C37586" w14:textId="77777777" w:rsidR="003918FD" w:rsidRPr="003A1216" w:rsidRDefault="00000000">
      <w:pPr>
        <w:pStyle w:val="Heading1"/>
        <w:spacing w:before="160" w:after="80"/>
        <w:rPr>
          <w:rFonts w:ascii="Times New Roman" w:hAnsi="Times New Roman" w:cs="Times New Roman"/>
          <w:color w:val="000000" w:themeColor="text1"/>
        </w:rPr>
      </w:pPr>
      <w:r w:rsidRPr="003A1216">
        <w:rPr>
          <w:rFonts w:ascii="Times New Roman" w:hAnsi="Times New Roman" w:cs="Times New Roman"/>
          <w:color w:val="000000" w:themeColor="text1"/>
        </w:rPr>
        <w:lastRenderedPageBreak/>
        <w:t>III. CORE DESIGN PRINCIPLES</w:t>
      </w:r>
    </w:p>
    <w:p w14:paraId="06804138" w14:textId="4BF732BC" w:rsidR="003918FD" w:rsidRPr="003A1216" w:rsidRDefault="003A1216">
      <w:pPr>
        <w:pStyle w:val="Heading2"/>
        <w:spacing w:before="100" w:after="40"/>
        <w:rPr>
          <w:color w:val="000000" w:themeColor="text1"/>
          <w:sz w:val="28"/>
          <w:szCs w:val="28"/>
        </w:rPr>
      </w:pPr>
      <w:r w:rsidRPr="003A1216">
        <w:rPr>
          <w:color w:val="000000" w:themeColor="text1"/>
          <w:sz w:val="28"/>
          <w:szCs w:val="28"/>
        </w:rPr>
        <w:t xml:space="preserve">1. </w:t>
      </w:r>
      <w:r w:rsidR="00490043" w:rsidRPr="003A1216">
        <w:rPr>
          <w:color w:val="000000" w:themeColor="text1"/>
          <w:sz w:val="28"/>
          <w:szCs w:val="28"/>
        </w:rPr>
        <w:t>Occupations</w:t>
      </w:r>
      <w:r w:rsidRPr="003A1216">
        <w:rPr>
          <w:color w:val="000000" w:themeColor="text1"/>
          <w:sz w:val="28"/>
          <w:szCs w:val="28"/>
        </w:rPr>
        <w:t xml:space="preserve">, Not </w:t>
      </w:r>
      <w:r w:rsidR="00490043" w:rsidRPr="003A1216">
        <w:rPr>
          <w:color w:val="000000" w:themeColor="text1"/>
          <w:sz w:val="28"/>
          <w:szCs w:val="28"/>
        </w:rPr>
        <w:t>Individuals</w:t>
      </w:r>
    </w:p>
    <w:p w14:paraId="0152A2EA" w14:textId="77777777" w:rsidR="003918FD" w:rsidRPr="00490043" w:rsidRDefault="00000000">
      <w:pPr>
        <w:spacing w:after="100" w:line="247" w:lineRule="auto"/>
        <w:rPr>
          <w:sz w:val="24"/>
          <w:szCs w:val="24"/>
        </w:rPr>
      </w:pPr>
      <w:r w:rsidRPr="00490043">
        <w:rPr>
          <w:sz w:val="24"/>
          <w:szCs w:val="24"/>
        </w:rPr>
        <w:t>The unit of analysis is the Job Class: a unique set of functional responsibilities. Employees with the same title may perform different work and therefore may have different virtualization potential. Deployment is based on the actual work, the number of days it can be performed virtually, hierarchy, technology, support requirements, and organizational compatibility.</w:t>
      </w:r>
    </w:p>
    <w:p w14:paraId="5A40ACDE" w14:textId="77777777" w:rsidR="003918FD" w:rsidRPr="003A1216" w:rsidRDefault="00000000">
      <w:pPr>
        <w:pStyle w:val="Heading2"/>
        <w:spacing w:before="100" w:after="40"/>
        <w:rPr>
          <w:color w:val="000000" w:themeColor="text1"/>
          <w:sz w:val="28"/>
          <w:szCs w:val="28"/>
        </w:rPr>
      </w:pPr>
      <w:r w:rsidRPr="003A1216">
        <w:rPr>
          <w:color w:val="000000" w:themeColor="text1"/>
          <w:sz w:val="28"/>
          <w:szCs w:val="28"/>
        </w:rPr>
        <w:t>2. Management Is Part of the Design</w:t>
      </w:r>
    </w:p>
    <w:p w14:paraId="7E34B3E3" w14:textId="77777777" w:rsidR="003918FD" w:rsidRPr="00490043" w:rsidRDefault="00000000">
      <w:pPr>
        <w:spacing w:after="100" w:line="247" w:lineRule="auto"/>
        <w:rPr>
          <w:sz w:val="24"/>
          <w:szCs w:val="24"/>
        </w:rPr>
      </w:pPr>
      <w:r w:rsidRPr="00490043">
        <w:rPr>
          <w:sz w:val="24"/>
          <w:szCs w:val="24"/>
        </w:rPr>
        <w:t>A virtual operating model can fail even when the work and technology are compatible if supervision, meetings, evaluation, communication, and decision rights remain designed for physical co-location. The Managerial Assessment identifies those gaps and converts them into a management redesign and training agenda.</w:t>
      </w:r>
    </w:p>
    <w:p w14:paraId="46E5FEB4" w14:textId="77777777" w:rsidR="003918FD" w:rsidRPr="00B9758C" w:rsidRDefault="00000000">
      <w:pPr>
        <w:pStyle w:val="Heading2"/>
        <w:spacing w:before="100" w:after="40"/>
        <w:rPr>
          <w:rFonts w:ascii="Times New Roman" w:hAnsi="Times New Roman" w:cs="Times New Roman"/>
          <w:color w:val="000000" w:themeColor="text1"/>
          <w:sz w:val="28"/>
          <w:szCs w:val="28"/>
        </w:rPr>
      </w:pPr>
      <w:r w:rsidRPr="00B9758C">
        <w:rPr>
          <w:rFonts w:ascii="Times New Roman" w:hAnsi="Times New Roman" w:cs="Times New Roman"/>
          <w:color w:val="000000" w:themeColor="text1"/>
          <w:sz w:val="28"/>
          <w:szCs w:val="28"/>
        </w:rPr>
        <w:t>3. Policy Follows the Operating Model</w:t>
      </w:r>
    </w:p>
    <w:p w14:paraId="00692752" w14:textId="77777777" w:rsidR="003918FD" w:rsidRPr="00490043" w:rsidRDefault="00000000">
      <w:pPr>
        <w:spacing w:after="100" w:line="247" w:lineRule="auto"/>
        <w:rPr>
          <w:sz w:val="24"/>
          <w:szCs w:val="24"/>
        </w:rPr>
      </w:pPr>
      <w:r w:rsidRPr="00490043">
        <w:rPr>
          <w:sz w:val="24"/>
          <w:szCs w:val="24"/>
        </w:rPr>
        <w:t>Policy should codify the operating model selected through assessment and scenario analysis. It should not substitute for designing that operating model. WVP therefore develops policy after the organization selects the Master Scenario and understands the operational requirements of the Deployment Plan.</w:t>
      </w:r>
    </w:p>
    <w:p w14:paraId="5D1625CA" w14:textId="77777777" w:rsidR="003918FD" w:rsidRPr="00B9758C" w:rsidRDefault="00000000">
      <w:pPr>
        <w:pStyle w:val="Heading2"/>
        <w:spacing w:before="100" w:after="40"/>
        <w:rPr>
          <w:rFonts w:ascii="Times New Roman" w:hAnsi="Times New Roman" w:cs="Times New Roman"/>
          <w:color w:val="000000" w:themeColor="text1"/>
          <w:sz w:val="28"/>
          <w:szCs w:val="28"/>
        </w:rPr>
      </w:pPr>
      <w:r w:rsidRPr="00B9758C">
        <w:rPr>
          <w:rFonts w:ascii="Times New Roman" w:hAnsi="Times New Roman" w:cs="Times New Roman"/>
          <w:color w:val="000000" w:themeColor="text1"/>
          <w:sz w:val="28"/>
          <w:szCs w:val="28"/>
        </w:rPr>
        <w:t xml:space="preserve">4. One Deployment Plan, Many </w:t>
      </w:r>
      <w:proofErr w:type="gramStart"/>
      <w:r w:rsidRPr="00B9758C">
        <w:rPr>
          <w:rFonts w:ascii="Times New Roman" w:hAnsi="Times New Roman" w:cs="Times New Roman"/>
          <w:color w:val="000000" w:themeColor="text1"/>
          <w:sz w:val="28"/>
          <w:szCs w:val="28"/>
        </w:rPr>
        <w:t>Enterprise</w:t>
      </w:r>
      <w:proofErr w:type="gramEnd"/>
      <w:r w:rsidRPr="00B9758C">
        <w:rPr>
          <w:rFonts w:ascii="Times New Roman" w:hAnsi="Times New Roman" w:cs="Times New Roman"/>
          <w:color w:val="000000" w:themeColor="text1"/>
          <w:sz w:val="28"/>
          <w:szCs w:val="28"/>
        </w:rPr>
        <w:t xml:space="preserve"> Systems</w:t>
      </w:r>
    </w:p>
    <w:p w14:paraId="35B4AEA5" w14:textId="77777777" w:rsidR="003918FD" w:rsidRPr="00490043" w:rsidRDefault="00000000">
      <w:pPr>
        <w:spacing w:after="100" w:line="247" w:lineRule="auto"/>
        <w:rPr>
          <w:sz w:val="24"/>
          <w:szCs w:val="24"/>
        </w:rPr>
      </w:pPr>
      <w:r w:rsidRPr="00490043">
        <w:rPr>
          <w:sz w:val="24"/>
          <w:szCs w:val="24"/>
        </w:rPr>
        <w:t>The Deployment Plan is intended to become the common source of truth. Human Resources, Facilities, Technology/Security, Procurement, Finance, Continuity, and Transportation should not each develop disconnected assumptions about the virtual workforce. Their requirements should be generated from the same deployment model.</w:t>
      </w:r>
    </w:p>
    <w:p w14:paraId="6F9CC642" w14:textId="77777777" w:rsidR="003918FD" w:rsidRPr="00B9758C" w:rsidRDefault="00000000">
      <w:pPr>
        <w:pStyle w:val="Heading1"/>
        <w:spacing w:before="160" w:after="80"/>
        <w:rPr>
          <w:rFonts w:ascii="Times New Roman" w:hAnsi="Times New Roman" w:cs="Times New Roman"/>
          <w:color w:val="000000" w:themeColor="text1"/>
        </w:rPr>
      </w:pPr>
      <w:r w:rsidRPr="00B9758C">
        <w:rPr>
          <w:rFonts w:ascii="Times New Roman" w:hAnsi="Times New Roman" w:cs="Times New Roman"/>
          <w:color w:val="000000" w:themeColor="text1"/>
        </w:rPr>
        <w:t>IV. THE VULNERABILITY AUDIT AND DAILY-TESTED CONTINUITY</w:t>
      </w:r>
    </w:p>
    <w:p w14:paraId="6C6EB567" w14:textId="77777777" w:rsidR="003918FD" w:rsidRPr="004A0036" w:rsidRDefault="00000000">
      <w:pPr>
        <w:spacing w:after="100" w:line="247" w:lineRule="auto"/>
        <w:rPr>
          <w:sz w:val="24"/>
          <w:szCs w:val="24"/>
        </w:rPr>
      </w:pPr>
      <w:r w:rsidRPr="004A0036">
        <w:rPr>
          <w:sz w:val="24"/>
          <w:szCs w:val="24"/>
        </w:rPr>
        <w:t>WVP integrates Continuity of Operations into normal workforce deployment. The Continuity Assessment identifies critical functions, recovery priorities, staff knowledge of the existing plan, and the operating environment required to sustain those functions.</w:t>
      </w:r>
    </w:p>
    <w:p w14:paraId="6E32321E" w14:textId="77777777" w:rsidR="003918FD" w:rsidRPr="004A0036" w:rsidRDefault="00000000">
      <w:pPr>
        <w:spacing w:after="100" w:line="247" w:lineRule="auto"/>
        <w:rPr>
          <w:sz w:val="24"/>
          <w:szCs w:val="24"/>
        </w:rPr>
      </w:pPr>
      <w:r w:rsidRPr="004A0036">
        <w:rPr>
          <w:sz w:val="24"/>
          <w:szCs w:val="24"/>
        </w:rPr>
        <w:t>The Vulnerability Audit adds geography. Facilities and designated continuity workers are overlaid against static and dynamic hazard zones so the organization can seek mutually exclusive exposure: if the facility is affected, the virtual continuity team should be outside the same impact area.</w:t>
      </w:r>
    </w:p>
    <w:p w14:paraId="16B992ED" w14:textId="77777777" w:rsidR="003918FD" w:rsidRPr="004A0036" w:rsidRDefault="00000000">
      <w:pPr>
        <w:pStyle w:val="CompactBullet"/>
        <w:rPr>
          <w:sz w:val="24"/>
          <w:szCs w:val="24"/>
        </w:rPr>
      </w:pPr>
      <w:r w:rsidRPr="004A0036">
        <w:rPr>
          <w:sz w:val="24"/>
          <w:szCs w:val="24"/>
        </w:rPr>
        <w:t>• Continuity Roles identify the people and responsibilities required to maintain critical functions.</w:t>
      </w:r>
    </w:p>
    <w:p w14:paraId="68464278" w14:textId="77777777" w:rsidR="003918FD" w:rsidRPr="004A0036" w:rsidRDefault="00000000">
      <w:pPr>
        <w:pStyle w:val="CompactBullet"/>
        <w:rPr>
          <w:sz w:val="24"/>
          <w:szCs w:val="24"/>
        </w:rPr>
      </w:pPr>
      <w:r w:rsidRPr="004A0036">
        <w:rPr>
          <w:sz w:val="24"/>
          <w:szCs w:val="24"/>
        </w:rPr>
        <w:t>• Continuity Configurations identify the technology, communications, security, redundancy, training, and other provisioning required for those roles.</w:t>
      </w:r>
    </w:p>
    <w:p w14:paraId="6A70F485" w14:textId="77777777" w:rsidR="003918FD" w:rsidRPr="004A0036" w:rsidRDefault="00000000">
      <w:pPr>
        <w:pStyle w:val="CompactBullet"/>
        <w:rPr>
          <w:sz w:val="24"/>
          <w:szCs w:val="24"/>
        </w:rPr>
      </w:pPr>
      <w:r w:rsidRPr="004A0036">
        <w:rPr>
          <w:sz w:val="24"/>
          <w:szCs w:val="24"/>
        </w:rPr>
        <w:t>• Normal virtual operations exercise the underlying workforce, technology, supervision, communications, and provisioning system every day; event-specific escalation still requires periodic exercises.</w:t>
      </w:r>
    </w:p>
    <w:p w14:paraId="0A6186FC" w14:textId="77777777" w:rsidR="003918FD" w:rsidRPr="00B9758C" w:rsidRDefault="00000000">
      <w:pPr>
        <w:pStyle w:val="Heading1"/>
        <w:spacing w:before="160" w:after="80"/>
        <w:rPr>
          <w:rFonts w:ascii="Times New Roman" w:hAnsi="Times New Roman" w:cs="Times New Roman"/>
          <w:color w:val="000000" w:themeColor="text1"/>
        </w:rPr>
      </w:pPr>
      <w:r w:rsidRPr="00B9758C">
        <w:rPr>
          <w:rFonts w:ascii="Times New Roman" w:hAnsi="Times New Roman" w:cs="Times New Roman"/>
          <w:color w:val="000000" w:themeColor="text1"/>
        </w:rPr>
        <w:lastRenderedPageBreak/>
        <w:t>V. FINANCIAL, FACILITY, AND ERP INTEGRATION</w:t>
      </w:r>
    </w:p>
    <w:p w14:paraId="5A841DE7" w14:textId="77777777" w:rsidR="003918FD" w:rsidRPr="004A0036" w:rsidRDefault="00000000">
      <w:pPr>
        <w:spacing w:after="100" w:line="247" w:lineRule="auto"/>
        <w:rPr>
          <w:sz w:val="24"/>
          <w:szCs w:val="24"/>
        </w:rPr>
      </w:pPr>
      <w:r w:rsidRPr="004A0036">
        <w:rPr>
          <w:sz w:val="24"/>
          <w:szCs w:val="24"/>
        </w:rPr>
        <w:t>Workforce virtualization changes much more than payroll location. It affects space utilization, leases, capital requirements, technology purchases, training, procurement, travel costs, continuity costs, employee costs, and operating performance. The Deployment Plan therefore should feed financial planning rather than exist as a stand-alone consulting report.</w:t>
      </w:r>
    </w:p>
    <w:p w14:paraId="197C1524" w14:textId="77777777" w:rsidR="003918FD" w:rsidRPr="004A0036" w:rsidRDefault="00000000">
      <w:pPr>
        <w:spacing w:after="100" w:line="247" w:lineRule="auto"/>
        <w:rPr>
          <w:sz w:val="24"/>
          <w:szCs w:val="24"/>
        </w:rPr>
      </w:pPr>
      <w:r w:rsidRPr="004A0036">
        <w:rPr>
          <w:sz w:val="24"/>
          <w:szCs w:val="24"/>
        </w:rPr>
        <w:t>A modern WVP can support a vendor-neutral interface to ERP and financial-management platforms using common objects such as Job Class, Employee Deployment, Provisioning Configuration, Continuity Role, Facility Conversion Project, Training Requirement, Capital Requirement, Operating Expense, Avoided Cost, Expected Savings, Actual Cost/Savings, and Variance.</w:t>
      </w:r>
    </w:p>
    <w:p w14:paraId="4843C0F9" w14:textId="77777777" w:rsidR="003918FD" w:rsidRPr="004A0036" w:rsidRDefault="00000000">
      <w:pPr>
        <w:spacing w:after="100" w:line="247" w:lineRule="auto"/>
        <w:rPr>
          <w:sz w:val="24"/>
          <w:szCs w:val="24"/>
        </w:rPr>
      </w:pPr>
      <w:r w:rsidRPr="004A0036">
        <w:rPr>
          <w:sz w:val="24"/>
          <w:szCs w:val="24"/>
        </w:rPr>
        <w:t>The operating sequence is: Assess → Model → Select Deployment Plan → Generate Operating Requirements → Build Budgets → Procure → Implement → Monitor Actual versus Plan.</w:t>
      </w:r>
    </w:p>
    <w:p w14:paraId="6A4EE174" w14:textId="77777777" w:rsidR="003918FD" w:rsidRPr="00B9758C" w:rsidRDefault="00000000">
      <w:pPr>
        <w:pStyle w:val="Heading1"/>
        <w:spacing w:before="160" w:after="80"/>
        <w:rPr>
          <w:rFonts w:ascii="Times New Roman" w:hAnsi="Times New Roman" w:cs="Times New Roman"/>
          <w:color w:val="000000" w:themeColor="text1"/>
        </w:rPr>
      </w:pPr>
      <w:r w:rsidRPr="00B9758C">
        <w:rPr>
          <w:rFonts w:ascii="Times New Roman" w:hAnsi="Times New Roman" w:cs="Times New Roman"/>
          <w:color w:val="000000" w:themeColor="text1"/>
        </w:rPr>
        <w:t>VI. THE MPO CONNECTION — FROM EMPLOYER DEPLOYMENT TO REGIONAL INTELLIGENCE</w:t>
      </w:r>
    </w:p>
    <w:p w14:paraId="6F2C068A" w14:textId="77777777" w:rsidR="003918FD" w:rsidRPr="004A0036" w:rsidRDefault="00000000">
      <w:pPr>
        <w:spacing w:after="100" w:line="247" w:lineRule="auto"/>
        <w:rPr>
          <w:sz w:val="24"/>
          <w:szCs w:val="24"/>
        </w:rPr>
      </w:pPr>
      <w:r w:rsidRPr="004A0036">
        <w:rPr>
          <w:sz w:val="24"/>
          <w:szCs w:val="24"/>
        </w:rPr>
        <w:t>The WVP has a direct Metropolitan Planning Organization application because workforce deployment is a transportation and land-use variable. When employers change where work is performed, they change trip generation, peak-period demand, vehicle miles traveled, parking demand, facility location, office-space requirements, emissions, safety exposure, and the geography of employment.</w:t>
      </w:r>
    </w:p>
    <w:p w14:paraId="0703CF74" w14:textId="77777777" w:rsidR="003918FD" w:rsidRPr="004A0036" w:rsidRDefault="00000000">
      <w:pPr>
        <w:spacing w:after="100" w:line="247" w:lineRule="auto"/>
        <w:rPr>
          <w:sz w:val="24"/>
          <w:szCs w:val="24"/>
        </w:rPr>
      </w:pPr>
      <w:r w:rsidRPr="004A0036">
        <w:rPr>
          <w:sz w:val="24"/>
          <w:szCs w:val="24"/>
        </w:rPr>
        <w:t>Instead of estimating telework from broad surveys or assumptions, an MPO working with standardized WVP data could obtain comparable employer-side intelligence about what work is virtualizable, what has actually been deployed, how many days per week employees are virtual, where facilities are changing, and how those changes affect travel demand.</w:t>
      </w:r>
    </w:p>
    <w:p w14:paraId="383A373C" w14:textId="315FB83C" w:rsidR="003918FD" w:rsidRPr="00B9758C" w:rsidRDefault="00000000" w:rsidP="00B9758C">
      <w:pPr>
        <w:pStyle w:val="Heading2"/>
        <w:numPr>
          <w:ilvl w:val="0"/>
          <w:numId w:val="13"/>
        </w:numPr>
        <w:spacing w:before="100" w:after="40"/>
        <w:ind w:left="360"/>
        <w:rPr>
          <w:rFonts w:ascii="Times New Roman" w:hAnsi="Times New Roman" w:cs="Times New Roman"/>
          <w:color w:val="000000" w:themeColor="text1"/>
          <w:sz w:val="28"/>
          <w:szCs w:val="28"/>
        </w:rPr>
      </w:pPr>
      <w:r w:rsidRPr="00B9758C">
        <w:rPr>
          <w:rFonts w:ascii="Times New Roman" w:hAnsi="Times New Roman" w:cs="Times New Roman"/>
          <w:color w:val="000000" w:themeColor="text1"/>
          <w:sz w:val="28"/>
          <w:szCs w:val="28"/>
        </w:rPr>
        <w:t>Potential Annual Workforce Virtualization &amp; Transportation Impact Report</w:t>
      </w:r>
    </w:p>
    <w:p w14:paraId="2C65C513" w14:textId="77777777" w:rsidR="003918FD" w:rsidRPr="004A0036" w:rsidRDefault="00000000" w:rsidP="00B9758C">
      <w:pPr>
        <w:pStyle w:val="CompactBullet"/>
        <w:ind w:left="540"/>
        <w:rPr>
          <w:sz w:val="24"/>
          <w:szCs w:val="24"/>
        </w:rPr>
      </w:pPr>
      <w:r w:rsidRPr="004A0036">
        <w:rPr>
          <w:sz w:val="24"/>
          <w:szCs w:val="24"/>
        </w:rPr>
        <w:t>• Estimated virtualizable workforce by occupation and Job Class.</w:t>
      </w:r>
    </w:p>
    <w:p w14:paraId="5746404B" w14:textId="77777777" w:rsidR="003918FD" w:rsidRPr="004A0036" w:rsidRDefault="00000000" w:rsidP="00B9758C">
      <w:pPr>
        <w:pStyle w:val="CompactBullet"/>
        <w:ind w:left="540"/>
        <w:rPr>
          <w:sz w:val="24"/>
          <w:szCs w:val="24"/>
        </w:rPr>
      </w:pPr>
      <w:r w:rsidRPr="004A0036">
        <w:rPr>
          <w:sz w:val="24"/>
          <w:szCs w:val="24"/>
        </w:rPr>
        <w:t>• Actual employer deployment and days-per-week trends.</w:t>
      </w:r>
    </w:p>
    <w:p w14:paraId="3D1D67A5" w14:textId="77777777" w:rsidR="003918FD" w:rsidRPr="004A0036" w:rsidRDefault="00000000" w:rsidP="00B9758C">
      <w:pPr>
        <w:pStyle w:val="CompactBullet"/>
        <w:ind w:left="540"/>
        <w:rPr>
          <w:sz w:val="24"/>
          <w:szCs w:val="24"/>
        </w:rPr>
      </w:pPr>
      <w:r w:rsidRPr="004A0036">
        <w:rPr>
          <w:sz w:val="24"/>
          <w:szCs w:val="24"/>
        </w:rPr>
        <w:t>• Trips, vehicle miles traveled, peak-period, parking, congestion, emissions, energy, and safety implications.</w:t>
      </w:r>
    </w:p>
    <w:p w14:paraId="2C1DFC16" w14:textId="77777777" w:rsidR="003918FD" w:rsidRPr="004A0036" w:rsidRDefault="00000000" w:rsidP="00B9758C">
      <w:pPr>
        <w:pStyle w:val="CompactBullet"/>
        <w:ind w:left="540"/>
        <w:rPr>
          <w:sz w:val="24"/>
          <w:szCs w:val="24"/>
        </w:rPr>
      </w:pPr>
      <w:r w:rsidRPr="004A0036">
        <w:rPr>
          <w:sz w:val="24"/>
          <w:szCs w:val="24"/>
        </w:rPr>
        <w:t>• Facility-demand and employment-geography changes.</w:t>
      </w:r>
    </w:p>
    <w:p w14:paraId="155C94FD" w14:textId="77777777" w:rsidR="003918FD" w:rsidRPr="004A0036" w:rsidRDefault="00000000" w:rsidP="00B9758C">
      <w:pPr>
        <w:pStyle w:val="CompactBullet"/>
        <w:ind w:left="540"/>
        <w:rPr>
          <w:sz w:val="24"/>
          <w:szCs w:val="24"/>
        </w:rPr>
      </w:pPr>
      <w:r w:rsidRPr="004A0036">
        <w:rPr>
          <w:sz w:val="24"/>
          <w:szCs w:val="24"/>
        </w:rPr>
        <w:t>• Peer-market and national benchmarks.</w:t>
      </w:r>
    </w:p>
    <w:p w14:paraId="1BCC5BD8" w14:textId="77777777" w:rsidR="003918FD" w:rsidRPr="004A0036" w:rsidRDefault="00000000" w:rsidP="00B9758C">
      <w:pPr>
        <w:pStyle w:val="CompactBullet"/>
        <w:ind w:left="540"/>
        <w:rPr>
          <w:sz w:val="24"/>
          <w:szCs w:val="24"/>
        </w:rPr>
      </w:pPr>
      <w:r w:rsidRPr="004A0036">
        <w:rPr>
          <w:sz w:val="24"/>
          <w:szCs w:val="24"/>
        </w:rPr>
        <w:t>• Five- and ten-year transportation and infrastructure scenarios.</w:t>
      </w:r>
    </w:p>
    <w:p w14:paraId="09EC2E36" w14:textId="77777777" w:rsidR="003918FD" w:rsidRPr="004A0036" w:rsidRDefault="00000000">
      <w:pPr>
        <w:spacing w:after="100" w:line="247" w:lineRule="auto"/>
        <w:rPr>
          <w:sz w:val="24"/>
          <w:szCs w:val="24"/>
        </w:rPr>
      </w:pPr>
      <w:r w:rsidRPr="004A0036">
        <w:rPr>
          <w:sz w:val="24"/>
          <w:szCs w:val="24"/>
        </w:rPr>
        <w:t>This creates a demand-side planning capability. Instead of treating transportation demand as something that simply arrives and must be accommodated, the region can evaluate how employer operating models themselves change future demand.</w:t>
      </w:r>
    </w:p>
    <w:p w14:paraId="44B57EB2" w14:textId="57E79F17" w:rsidR="003918FD" w:rsidRPr="00B9758C" w:rsidRDefault="00000000" w:rsidP="0095607E">
      <w:pPr>
        <w:pStyle w:val="Heading2"/>
        <w:numPr>
          <w:ilvl w:val="0"/>
          <w:numId w:val="13"/>
        </w:numPr>
        <w:spacing w:before="100" w:after="40"/>
        <w:ind w:left="360"/>
        <w:rPr>
          <w:rFonts w:ascii="Times New Roman" w:hAnsi="Times New Roman" w:cs="Times New Roman"/>
          <w:color w:val="000000" w:themeColor="text1"/>
          <w:sz w:val="28"/>
          <w:szCs w:val="28"/>
        </w:rPr>
      </w:pPr>
      <w:proofErr w:type="spellStart"/>
      <w:r w:rsidRPr="00B9758C">
        <w:rPr>
          <w:rFonts w:ascii="Times New Roman" w:hAnsi="Times New Roman" w:cs="Times New Roman"/>
          <w:color w:val="000000" w:themeColor="text1"/>
          <w:sz w:val="28"/>
          <w:szCs w:val="28"/>
        </w:rPr>
        <w:t>MPO</w:t>
      </w:r>
      <w:proofErr w:type="spellEnd"/>
      <w:r w:rsidRPr="00B9758C">
        <w:rPr>
          <w:rFonts w:ascii="Times New Roman" w:hAnsi="Times New Roman" w:cs="Times New Roman"/>
          <w:color w:val="000000" w:themeColor="text1"/>
          <w:sz w:val="28"/>
          <w:szCs w:val="28"/>
        </w:rPr>
        <w:t xml:space="preserve"> + Vulnerability / Resilience Application</w:t>
      </w:r>
    </w:p>
    <w:p w14:paraId="01CA4B88" w14:textId="77777777" w:rsidR="003918FD" w:rsidRPr="004A0036" w:rsidRDefault="00000000">
      <w:pPr>
        <w:spacing w:after="100" w:line="247" w:lineRule="auto"/>
        <w:rPr>
          <w:sz w:val="24"/>
          <w:szCs w:val="24"/>
        </w:rPr>
      </w:pPr>
      <w:r w:rsidRPr="004A0036">
        <w:rPr>
          <w:sz w:val="24"/>
          <w:szCs w:val="24"/>
        </w:rPr>
        <w:t>An MPO, emergency-management partner, or regional organization can also maintain common hazard layers for the functional market</w:t>
      </w:r>
      <w:r w:rsidR="004A0036">
        <w:rPr>
          <w:sz w:val="24"/>
          <w:szCs w:val="24"/>
        </w:rPr>
        <w:t xml:space="preserve"> through the Vulnerability Audit. </w:t>
      </w:r>
      <w:r w:rsidRPr="004A0036">
        <w:rPr>
          <w:sz w:val="24"/>
          <w:szCs w:val="24"/>
        </w:rPr>
        <w:t xml:space="preserve"> Participating employers can overlay facilities and </w:t>
      </w:r>
      <w:r w:rsidR="004A0036">
        <w:rPr>
          <w:sz w:val="24"/>
          <w:szCs w:val="24"/>
        </w:rPr>
        <w:t xml:space="preserve">risks to ensure that their continuity workers are in different threat zones than their facility. </w:t>
      </w:r>
    </w:p>
    <w:p w14:paraId="48C06437" w14:textId="77777777" w:rsidR="003918FD" w:rsidRPr="00B9758C" w:rsidRDefault="00000000">
      <w:pPr>
        <w:pStyle w:val="Heading1"/>
        <w:spacing w:before="160" w:after="80"/>
        <w:rPr>
          <w:rFonts w:ascii="Times New Roman" w:hAnsi="Times New Roman" w:cs="Times New Roman"/>
          <w:color w:val="000000" w:themeColor="text1"/>
        </w:rPr>
      </w:pPr>
      <w:r w:rsidRPr="00B9758C">
        <w:rPr>
          <w:rFonts w:ascii="Times New Roman" w:hAnsi="Times New Roman" w:cs="Times New Roman"/>
          <w:color w:val="000000" w:themeColor="text1"/>
        </w:rPr>
        <w:lastRenderedPageBreak/>
        <w:t>VII. FROM EMPLOYER WVP TO IAC AND NATIONAL INTELLIGENCE</w:t>
      </w:r>
    </w:p>
    <w:p w14:paraId="17D17A96" w14:textId="77777777" w:rsidR="003918FD" w:rsidRPr="004A0036" w:rsidRDefault="00000000">
      <w:pPr>
        <w:spacing w:after="100" w:line="247" w:lineRule="auto"/>
        <w:rPr>
          <w:sz w:val="24"/>
          <w:szCs w:val="24"/>
        </w:rPr>
      </w:pPr>
      <w:r w:rsidRPr="004A0036">
        <w:rPr>
          <w:sz w:val="24"/>
          <w:szCs w:val="24"/>
        </w:rPr>
        <w:t>WVP operates naturally at nested scales. Employer implementations produce standardized workforce, facility, continuity, financial, and travel-demand observations. Communities and IACs can aggregate those effects across actual labor and service markets. MPOs and states can use the same architecture for regional planning, while a national research database can create longitudinal benchmarks and best-practice intelligence.</w:t>
      </w:r>
    </w:p>
    <w:p w14:paraId="5A58867C" w14:textId="77777777" w:rsidR="003918FD" w:rsidRPr="004A0036" w:rsidRDefault="00000000">
      <w:pPr>
        <w:spacing w:after="100" w:line="247" w:lineRule="auto"/>
        <w:rPr>
          <w:sz w:val="24"/>
          <w:szCs w:val="24"/>
        </w:rPr>
      </w:pPr>
      <w:r w:rsidRPr="004A0036">
        <w:rPr>
          <w:sz w:val="24"/>
          <w:szCs w:val="24"/>
        </w:rPr>
        <w:t>Employer WVP → Community / IAC Virtualization → MPO and State Intelligence → National Research and Benchmarking</w:t>
      </w:r>
    </w:p>
    <w:p w14:paraId="112C3384" w14:textId="77777777" w:rsidR="003918FD" w:rsidRPr="00B9758C" w:rsidRDefault="00000000">
      <w:pPr>
        <w:pStyle w:val="Heading1"/>
        <w:spacing w:before="160" w:after="80"/>
        <w:rPr>
          <w:rFonts w:ascii="Times New Roman" w:hAnsi="Times New Roman" w:cs="Times New Roman"/>
          <w:color w:val="000000" w:themeColor="text1"/>
        </w:rPr>
      </w:pPr>
      <w:r w:rsidRPr="00B9758C">
        <w:rPr>
          <w:rFonts w:ascii="Times New Roman" w:hAnsi="Times New Roman" w:cs="Times New Roman"/>
          <w:color w:val="000000" w:themeColor="text1"/>
        </w:rPr>
        <w:t>VIII. CONNECTION TO THE INFORMATION AGE COMMUNITY</w:t>
      </w:r>
    </w:p>
    <w:p w14:paraId="67C11B14" w14:textId="77777777" w:rsidR="003918FD" w:rsidRPr="004A0036" w:rsidRDefault="00000000">
      <w:pPr>
        <w:spacing w:after="100" w:line="247" w:lineRule="auto"/>
        <w:rPr>
          <w:sz w:val="24"/>
          <w:szCs w:val="24"/>
        </w:rPr>
      </w:pPr>
      <w:r w:rsidRPr="004A0036">
        <w:rPr>
          <w:sz w:val="24"/>
          <w:szCs w:val="24"/>
        </w:rPr>
        <w:t>Within the IAC, Workforce Virtualization is the employment-side application of the broader home-first doctrine: virtualize what can realistically be virtualized, retain physical facilities where they add real capability, and use the TeleCenter, Community Lens, broadband network, and other IAC systems to make distributed access practical.</w:t>
      </w:r>
    </w:p>
    <w:p w14:paraId="7638BD15" w14:textId="77777777" w:rsidR="003918FD" w:rsidRPr="004A0036" w:rsidRDefault="00000000">
      <w:pPr>
        <w:pStyle w:val="CompactBullet"/>
        <w:rPr>
          <w:sz w:val="24"/>
          <w:szCs w:val="24"/>
        </w:rPr>
      </w:pPr>
      <w:r w:rsidRPr="004A0036">
        <w:rPr>
          <w:sz w:val="24"/>
          <w:szCs w:val="24"/>
        </w:rPr>
        <w:t>• Viability Index — measures workforce, economic, transportation, resilience, and Community effects.</w:t>
      </w:r>
    </w:p>
    <w:p w14:paraId="79BAC144" w14:textId="77777777" w:rsidR="003918FD" w:rsidRPr="004A0036" w:rsidRDefault="00000000">
      <w:pPr>
        <w:pStyle w:val="CompactBullet"/>
        <w:rPr>
          <w:sz w:val="24"/>
          <w:szCs w:val="24"/>
        </w:rPr>
      </w:pPr>
      <w:r w:rsidRPr="004A0036">
        <w:rPr>
          <w:sz w:val="24"/>
          <w:szCs w:val="24"/>
        </w:rPr>
        <w:t>• Community Lens — connects employees and residents to Community information, services, opportunities, and engagement.</w:t>
      </w:r>
    </w:p>
    <w:p w14:paraId="0C954A9D" w14:textId="5FE5F30F" w:rsidR="003918FD" w:rsidRPr="004A0036" w:rsidRDefault="00000000">
      <w:pPr>
        <w:pStyle w:val="CompactBullet"/>
        <w:rPr>
          <w:sz w:val="24"/>
          <w:szCs w:val="24"/>
        </w:rPr>
      </w:pPr>
      <w:r w:rsidRPr="004A0036">
        <w:rPr>
          <w:sz w:val="24"/>
          <w:szCs w:val="24"/>
        </w:rPr>
        <w:t xml:space="preserve">• TeleCenter — supports specialized technology, training, transactions, connectivity, continuity, and functions </w:t>
      </w:r>
      <w:r w:rsidR="0095607E">
        <w:rPr>
          <w:sz w:val="24"/>
          <w:szCs w:val="24"/>
        </w:rPr>
        <w:t xml:space="preserve">not available in the </w:t>
      </w:r>
      <w:r w:rsidRPr="004A0036">
        <w:rPr>
          <w:sz w:val="24"/>
          <w:szCs w:val="24"/>
        </w:rPr>
        <w:t>home.</w:t>
      </w:r>
    </w:p>
    <w:p w14:paraId="565C14B8" w14:textId="77777777" w:rsidR="003918FD" w:rsidRPr="004A0036" w:rsidRDefault="00000000">
      <w:pPr>
        <w:pStyle w:val="CompactBullet"/>
        <w:rPr>
          <w:sz w:val="24"/>
          <w:szCs w:val="24"/>
        </w:rPr>
      </w:pPr>
      <w:r w:rsidRPr="004A0036">
        <w:rPr>
          <w:sz w:val="24"/>
          <w:szCs w:val="24"/>
        </w:rPr>
        <w:t>• Regional Transit — provides reliable physical access for the trips that cannot or should not be virtualized.</w:t>
      </w:r>
    </w:p>
    <w:p w14:paraId="2593ACB7" w14:textId="6E695144" w:rsidR="003918FD" w:rsidRPr="004A0036" w:rsidRDefault="00000000">
      <w:pPr>
        <w:pStyle w:val="CompactBullet"/>
        <w:rPr>
          <w:sz w:val="24"/>
          <w:szCs w:val="24"/>
        </w:rPr>
      </w:pPr>
      <w:r w:rsidRPr="004A0036">
        <w:rPr>
          <w:sz w:val="24"/>
          <w:szCs w:val="24"/>
        </w:rPr>
        <w:t xml:space="preserve">• Governance / Community Boards — </w:t>
      </w:r>
      <w:r w:rsidR="0095607E">
        <w:rPr>
          <w:sz w:val="24"/>
          <w:szCs w:val="24"/>
        </w:rPr>
        <w:t xml:space="preserve">integrate the WVP in </w:t>
      </w:r>
      <w:r w:rsidRPr="004A0036">
        <w:rPr>
          <w:sz w:val="24"/>
          <w:szCs w:val="24"/>
        </w:rPr>
        <w:t>Community stewardship, economic development, and investment decisions.</w:t>
      </w:r>
    </w:p>
    <w:p w14:paraId="2D55A21A" w14:textId="77777777" w:rsidR="003918FD" w:rsidRPr="004A0036" w:rsidRDefault="00000000">
      <w:pPr>
        <w:spacing w:after="100" w:line="247" w:lineRule="auto"/>
        <w:rPr>
          <w:sz w:val="24"/>
          <w:szCs w:val="24"/>
        </w:rPr>
      </w:pPr>
      <w:r w:rsidRPr="004A0036">
        <w:rPr>
          <w:sz w:val="24"/>
          <w:szCs w:val="24"/>
        </w:rPr>
        <w:t>The broader objective is not to recreate the office in every Community. It is to give people greater freedom to choose where they live while giving employers a more resilient, measurable, and financially disciplined operating model.</w:t>
      </w:r>
    </w:p>
    <w:p w14:paraId="49388D12" w14:textId="26E66D81" w:rsidR="003918FD" w:rsidRPr="0095607E" w:rsidRDefault="0095607E">
      <w:pPr>
        <w:spacing w:before="140" w:after="60"/>
        <w:rPr>
          <w:color w:val="000000" w:themeColor="text1"/>
          <w:sz w:val="28"/>
          <w:szCs w:val="28"/>
        </w:rPr>
      </w:pPr>
      <w:r>
        <w:rPr>
          <w:b/>
          <w:color w:val="000000" w:themeColor="text1"/>
          <w:sz w:val="28"/>
          <w:szCs w:val="28"/>
        </w:rPr>
        <w:t xml:space="preserve">IX.  </w:t>
      </w:r>
      <w:r w:rsidR="00000000" w:rsidRPr="0095607E">
        <w:rPr>
          <w:b/>
          <w:color w:val="000000" w:themeColor="text1"/>
          <w:sz w:val="28"/>
          <w:szCs w:val="28"/>
        </w:rPr>
        <w:t>CONTINUITY DEPLOYMENT, COMMUNITY</w:t>
      </w:r>
      <w:r>
        <w:rPr>
          <w:b/>
          <w:color w:val="000000" w:themeColor="text1"/>
          <w:sz w:val="28"/>
          <w:szCs w:val="28"/>
        </w:rPr>
        <w:t>,</w:t>
      </w:r>
      <w:r w:rsidR="00000000" w:rsidRPr="0095607E">
        <w:rPr>
          <w:b/>
          <w:color w:val="000000" w:themeColor="text1"/>
          <w:sz w:val="28"/>
          <w:szCs w:val="28"/>
        </w:rPr>
        <w:t xml:space="preserve"> AND FREEDOM OF RESIDENTIAL CHOICE</w:t>
      </w:r>
    </w:p>
    <w:p w14:paraId="1988CC46" w14:textId="77777777" w:rsidR="003918FD" w:rsidRPr="004A0036" w:rsidRDefault="00000000">
      <w:pPr>
        <w:spacing w:after="60" w:line="240" w:lineRule="auto"/>
        <w:rPr>
          <w:sz w:val="24"/>
          <w:szCs w:val="24"/>
        </w:rPr>
      </w:pPr>
      <w:r w:rsidRPr="004A0036">
        <w:rPr>
          <w:sz w:val="24"/>
          <w:szCs w:val="24"/>
        </w:rPr>
        <w:t>A major IAC use of Workforce Virtualization is continuity deployment: get critical work and critical people away from unnecessary dependence on the primary office and, where appropriate, outside the same threat zone as the facility they are expected to protect. Normal distributed operations then exercise that continuity capability every day.</w:t>
      </w:r>
    </w:p>
    <w:p w14:paraId="30116003" w14:textId="5B819408" w:rsidR="003918FD" w:rsidRPr="004A0036" w:rsidRDefault="00000000">
      <w:pPr>
        <w:spacing w:after="60" w:line="240" w:lineRule="auto"/>
        <w:rPr>
          <w:sz w:val="24"/>
          <w:szCs w:val="24"/>
        </w:rPr>
      </w:pPr>
      <w:r w:rsidRPr="004A0036">
        <w:rPr>
          <w:sz w:val="24"/>
          <w:szCs w:val="24"/>
        </w:rPr>
        <w:t xml:space="preserve">That enterprise logic can create genuine residential freedom. Once work no longer requires daily proximity to headquarters, an employee and family can consider Communities based upon quality of life and compatibility. The IAC Lens can help identify possible matches nationally and ultimately globally; the Community Lens then presents the local values, Vision, identity, services, conditions, and </w:t>
      </w:r>
      <w:r w:rsidR="0095607E">
        <w:rPr>
          <w:sz w:val="24"/>
          <w:szCs w:val="24"/>
        </w:rPr>
        <w:t xml:space="preserve">relocation </w:t>
      </w:r>
      <w:r w:rsidRPr="004A0036">
        <w:rPr>
          <w:sz w:val="24"/>
          <w:szCs w:val="24"/>
        </w:rPr>
        <w:t>opportunities</w:t>
      </w:r>
      <w:r w:rsidR="0095607E">
        <w:rPr>
          <w:sz w:val="24"/>
          <w:szCs w:val="24"/>
        </w:rPr>
        <w:t>.</w:t>
      </w:r>
    </w:p>
    <w:p w14:paraId="259D30FA" w14:textId="77777777" w:rsidR="003918FD" w:rsidRPr="004A0036" w:rsidRDefault="00000000">
      <w:pPr>
        <w:spacing w:after="60" w:line="240" w:lineRule="auto"/>
        <w:rPr>
          <w:sz w:val="24"/>
          <w:szCs w:val="24"/>
        </w:rPr>
      </w:pPr>
      <w:r w:rsidRPr="004A0036">
        <w:rPr>
          <w:sz w:val="24"/>
          <w:szCs w:val="24"/>
        </w:rPr>
        <w:t>The employer makes geographic flexibility possible, but supporting corporate and governmental policies make it permissible. The Community must then provide the technical, service, social, civic, and mobility context required to make relocation sustainable. New residents are invited into Community life rather than treated simply as remote workers who happen to live there.</w:t>
      </w:r>
    </w:p>
    <w:p w14:paraId="1A6CB127" w14:textId="77777777" w:rsidR="003918FD" w:rsidRDefault="00000000">
      <w:pPr>
        <w:spacing w:after="60" w:line="240" w:lineRule="auto"/>
        <w:rPr>
          <w:sz w:val="24"/>
          <w:szCs w:val="24"/>
        </w:rPr>
      </w:pPr>
      <w:r w:rsidRPr="004A0036">
        <w:rPr>
          <w:sz w:val="24"/>
          <w:szCs w:val="24"/>
        </w:rPr>
        <w:t>Some incoming residents will also bring economic multipliers: professional income, entrepreneurship, investment, supplier relationships, business networks, future hiring, or eventual company expansion. The strategy therefore complements traditional economic development by attracting people and talent as well as employers.</w:t>
      </w:r>
    </w:p>
    <w:p w14:paraId="3819E12F" w14:textId="77777777" w:rsidR="0095607E" w:rsidRPr="004A0036" w:rsidRDefault="0095607E">
      <w:pPr>
        <w:spacing w:after="60" w:line="240" w:lineRule="auto"/>
        <w:rPr>
          <w:sz w:val="24"/>
          <w:szCs w:val="24"/>
        </w:rPr>
      </w:pPr>
    </w:p>
    <w:p w14:paraId="56D4DFD6" w14:textId="77777777" w:rsidR="003918FD" w:rsidRPr="004A0036" w:rsidRDefault="00000000" w:rsidP="00B9758C">
      <w:pPr>
        <w:spacing w:after="20" w:line="240" w:lineRule="auto"/>
        <w:ind w:left="360" w:hanging="160"/>
        <w:rPr>
          <w:sz w:val="24"/>
          <w:szCs w:val="24"/>
        </w:rPr>
      </w:pPr>
      <w:r w:rsidRPr="004A0036">
        <w:rPr>
          <w:sz w:val="24"/>
          <w:szCs w:val="24"/>
        </w:rPr>
        <w:lastRenderedPageBreak/>
        <w:t>• Employer virtualization -&gt; continuity dispersion.</w:t>
      </w:r>
    </w:p>
    <w:p w14:paraId="3F9BF733" w14:textId="77777777" w:rsidR="003918FD" w:rsidRPr="004A0036" w:rsidRDefault="00000000" w:rsidP="00B9758C">
      <w:pPr>
        <w:spacing w:after="20" w:line="240" w:lineRule="auto"/>
        <w:ind w:left="360" w:hanging="160"/>
        <w:rPr>
          <w:sz w:val="24"/>
          <w:szCs w:val="24"/>
        </w:rPr>
      </w:pPr>
      <w:r w:rsidRPr="004A0036">
        <w:rPr>
          <w:sz w:val="24"/>
          <w:szCs w:val="24"/>
        </w:rPr>
        <w:t>• IAC Lens -&gt; Community discovery and matching.</w:t>
      </w:r>
    </w:p>
    <w:p w14:paraId="5D672CED" w14:textId="77777777" w:rsidR="003918FD" w:rsidRPr="004A0036" w:rsidRDefault="00000000" w:rsidP="00B9758C">
      <w:pPr>
        <w:spacing w:after="20" w:line="240" w:lineRule="auto"/>
        <w:ind w:left="360" w:hanging="160"/>
        <w:rPr>
          <w:sz w:val="24"/>
          <w:szCs w:val="24"/>
        </w:rPr>
      </w:pPr>
      <w:r w:rsidRPr="004A0036">
        <w:rPr>
          <w:sz w:val="24"/>
          <w:szCs w:val="24"/>
        </w:rPr>
        <w:t>• Community Lens -&gt; authentic local identity and living context.</w:t>
      </w:r>
    </w:p>
    <w:p w14:paraId="5A337249" w14:textId="77777777" w:rsidR="003918FD" w:rsidRPr="004A0036" w:rsidRDefault="00000000" w:rsidP="00B9758C">
      <w:pPr>
        <w:spacing w:after="20" w:line="240" w:lineRule="auto"/>
        <w:ind w:left="360" w:hanging="160"/>
        <w:rPr>
          <w:sz w:val="24"/>
          <w:szCs w:val="24"/>
        </w:rPr>
      </w:pPr>
      <w:r w:rsidRPr="004A0036">
        <w:rPr>
          <w:sz w:val="24"/>
          <w:szCs w:val="24"/>
        </w:rPr>
        <w:t>• Policy alignment -&gt; institutional permission.</w:t>
      </w:r>
    </w:p>
    <w:p w14:paraId="02B453D5" w14:textId="77777777" w:rsidR="003918FD" w:rsidRPr="004A0036" w:rsidRDefault="00000000" w:rsidP="00B9758C">
      <w:pPr>
        <w:spacing w:after="20" w:line="240" w:lineRule="auto"/>
        <w:ind w:left="360" w:hanging="160"/>
        <w:rPr>
          <w:sz w:val="24"/>
          <w:szCs w:val="24"/>
        </w:rPr>
      </w:pPr>
      <w:r w:rsidRPr="004A0036">
        <w:rPr>
          <w:sz w:val="24"/>
          <w:szCs w:val="24"/>
        </w:rPr>
        <w:t>• TeleCenter, services, broadband, and transit -&gt; practical relocation support.</w:t>
      </w:r>
    </w:p>
    <w:p w14:paraId="5B00C8C7" w14:textId="77777777" w:rsidR="003918FD" w:rsidRPr="004A0036" w:rsidRDefault="00000000" w:rsidP="00B9758C">
      <w:pPr>
        <w:spacing w:after="20" w:line="240" w:lineRule="auto"/>
        <w:ind w:left="360" w:hanging="160"/>
        <w:rPr>
          <w:sz w:val="24"/>
          <w:szCs w:val="24"/>
        </w:rPr>
      </w:pPr>
      <w:r w:rsidRPr="004A0036">
        <w:rPr>
          <w:sz w:val="24"/>
          <w:szCs w:val="24"/>
        </w:rPr>
        <w:t>• Engagement, Visioning, and e-Consensus -&gt; civic integration and cultural evolution.</w:t>
      </w:r>
    </w:p>
    <w:p w14:paraId="48234F30" w14:textId="77777777" w:rsidR="003918FD" w:rsidRPr="004A0036" w:rsidRDefault="00000000" w:rsidP="00B9758C">
      <w:pPr>
        <w:spacing w:after="20" w:line="240" w:lineRule="auto"/>
        <w:ind w:left="360" w:hanging="160"/>
        <w:rPr>
          <w:sz w:val="24"/>
          <w:szCs w:val="24"/>
        </w:rPr>
      </w:pPr>
      <w:r w:rsidRPr="004A0036">
        <w:rPr>
          <w:sz w:val="24"/>
          <w:szCs w:val="24"/>
        </w:rPr>
        <w:t>• Community viability -&gt; a sustainable long-term residential choice.</w:t>
      </w:r>
    </w:p>
    <w:p w14:paraId="5FE516F3" w14:textId="77777777" w:rsidR="00F31F48" w:rsidRPr="00F31F48" w:rsidRDefault="00000000" w:rsidP="0095607E">
      <w:pPr>
        <w:spacing w:before="160" w:after="0"/>
        <w:jc w:val="center"/>
        <w:rPr>
          <w:b/>
          <w:color w:val="000000" w:themeColor="text1"/>
          <w:sz w:val="28"/>
          <w:szCs w:val="28"/>
        </w:rPr>
      </w:pPr>
      <w:r w:rsidRPr="00F31F48">
        <w:rPr>
          <w:b/>
          <w:color w:val="000000" w:themeColor="text1"/>
          <w:sz w:val="28"/>
          <w:szCs w:val="28"/>
        </w:rPr>
        <w:t xml:space="preserve">Virtualize what can be virtualized.  Protect what must remain physical.  Measure the results.  </w:t>
      </w:r>
    </w:p>
    <w:p w14:paraId="1357E116" w14:textId="3A1F5AA4" w:rsidR="003918FD" w:rsidRPr="00F31F48" w:rsidRDefault="00000000" w:rsidP="0095607E">
      <w:pPr>
        <w:spacing w:before="160" w:after="0"/>
        <w:jc w:val="center"/>
        <w:rPr>
          <w:color w:val="000000" w:themeColor="text1"/>
          <w:sz w:val="28"/>
          <w:szCs w:val="28"/>
        </w:rPr>
      </w:pPr>
      <w:r w:rsidRPr="00F31F48">
        <w:rPr>
          <w:b/>
          <w:color w:val="000000" w:themeColor="text1"/>
          <w:sz w:val="28"/>
          <w:szCs w:val="28"/>
        </w:rPr>
        <w:t>Use the gains to strengthen both the organization and the Community.</w:t>
      </w:r>
    </w:p>
    <w:p w14:paraId="1F021B6A" w14:textId="77777777" w:rsidR="0095607E" w:rsidRPr="0095607E" w:rsidRDefault="0095607E" w:rsidP="0095607E">
      <w:pPr>
        <w:rPr>
          <w:b/>
          <w:bCs/>
          <w:color w:val="000000" w:themeColor="text1"/>
          <w:sz w:val="28"/>
          <w:szCs w:val="28"/>
        </w:rPr>
      </w:pPr>
    </w:p>
    <w:p w14:paraId="4052545A" w14:textId="62818CC4" w:rsidR="006A287D" w:rsidRPr="0095607E" w:rsidRDefault="00000000" w:rsidP="0095607E">
      <w:pPr>
        <w:rPr>
          <w:b/>
          <w:bCs/>
          <w:color w:val="000000" w:themeColor="text1"/>
          <w:sz w:val="28"/>
          <w:szCs w:val="28"/>
        </w:rPr>
      </w:pPr>
      <w:r w:rsidRPr="0095607E">
        <w:rPr>
          <w:b/>
          <w:bCs/>
          <w:color w:val="000000" w:themeColor="text1"/>
          <w:sz w:val="28"/>
          <w:szCs w:val="28"/>
        </w:rPr>
        <w:t>X. HOW WORKFORCE VIRTUALIZATION COLLABORATES WITH THE OTHER IAC COMPONENTS</w:t>
      </w:r>
    </w:p>
    <w:p w14:paraId="317AD6F0" w14:textId="77777777" w:rsidR="006A287D" w:rsidRPr="004F5001" w:rsidRDefault="00000000">
      <w:pPr>
        <w:spacing w:after="60" w:line="240" w:lineRule="auto"/>
        <w:rPr>
          <w:sz w:val="24"/>
          <w:szCs w:val="24"/>
        </w:rPr>
      </w:pPr>
      <w:r w:rsidRPr="004F5001">
        <w:rPr>
          <w:sz w:val="24"/>
          <w:szCs w:val="24"/>
        </w:rPr>
        <w:t>Workforce Virtualization is not a stand-alone employer program inside the IAC. It is the employment-side engine that makes geographic choice more practical, while the other IAC components help the worker, family, employer, and Community turn that flexibility into a sustainable way of living and operating.</w:t>
      </w:r>
    </w:p>
    <w:p w14:paraId="509491A6" w14:textId="6FF3BD2A" w:rsidR="006A287D" w:rsidRPr="004F5001" w:rsidRDefault="00000000" w:rsidP="004F5001">
      <w:pPr>
        <w:numPr>
          <w:ilvl w:val="0"/>
          <w:numId w:val="11"/>
        </w:numPr>
        <w:spacing w:after="60" w:line="240" w:lineRule="auto"/>
        <w:ind w:left="540"/>
        <w:rPr>
          <w:sz w:val="24"/>
          <w:szCs w:val="24"/>
        </w:rPr>
      </w:pPr>
      <w:r w:rsidRPr="004F5001">
        <w:rPr>
          <w:b/>
          <w:sz w:val="24"/>
          <w:szCs w:val="24"/>
        </w:rPr>
        <w:t xml:space="preserve">Governance and Community Boards. </w:t>
      </w:r>
      <w:r w:rsidRPr="004F5001">
        <w:rPr>
          <w:sz w:val="24"/>
          <w:szCs w:val="24"/>
        </w:rPr>
        <w:t>The employer owns its WVP operating decisions; the Community does not manage the employer. The IAC Board provides standards, safeguards, partnerships, and system relationships, while Community Boards use WVP effects in stewardship, economic-development, service, housing, mobility, and investment decisions.</w:t>
      </w:r>
    </w:p>
    <w:p w14:paraId="6EA46CB0" w14:textId="1E7B711D" w:rsidR="006A287D" w:rsidRPr="004F5001" w:rsidRDefault="00000000" w:rsidP="004F5001">
      <w:pPr>
        <w:numPr>
          <w:ilvl w:val="0"/>
          <w:numId w:val="11"/>
        </w:numPr>
        <w:spacing w:after="60" w:line="240" w:lineRule="auto"/>
        <w:ind w:left="540"/>
        <w:rPr>
          <w:sz w:val="24"/>
          <w:szCs w:val="24"/>
        </w:rPr>
      </w:pPr>
      <w:r w:rsidRPr="004F5001">
        <w:rPr>
          <w:b/>
          <w:sz w:val="24"/>
          <w:szCs w:val="24"/>
        </w:rPr>
        <w:t xml:space="preserve">IAC Lens and Community Lens. </w:t>
      </w:r>
      <w:r w:rsidRPr="004F5001">
        <w:rPr>
          <w:sz w:val="24"/>
          <w:szCs w:val="24"/>
        </w:rPr>
        <w:t>WVP creates geographic flexibility. The IAC Lens helps workers and families discover Communities that may fit what they value; the Community Lens lets each Community present its own values, Vision, identity, services, organizations, opportunities, and living conditions.</w:t>
      </w:r>
    </w:p>
    <w:p w14:paraId="34EA7E8B" w14:textId="00AF2AFF" w:rsidR="006A287D" w:rsidRPr="004F5001" w:rsidRDefault="00000000" w:rsidP="004F5001">
      <w:pPr>
        <w:numPr>
          <w:ilvl w:val="0"/>
          <w:numId w:val="11"/>
        </w:numPr>
        <w:spacing w:after="60" w:line="240" w:lineRule="auto"/>
        <w:ind w:left="540"/>
        <w:rPr>
          <w:sz w:val="24"/>
          <w:szCs w:val="24"/>
        </w:rPr>
      </w:pPr>
      <w:r w:rsidRPr="004F5001">
        <w:rPr>
          <w:b/>
          <w:sz w:val="24"/>
          <w:szCs w:val="24"/>
        </w:rPr>
        <w:t xml:space="preserve">Community Visioning. </w:t>
      </w:r>
      <w:r w:rsidRPr="004F5001">
        <w:rPr>
          <w:sz w:val="24"/>
          <w:szCs w:val="24"/>
        </w:rPr>
        <w:t>WVP can change commuting, daytime activity, housing demand, local spending, population patterns, and talent availability. Visioning helps the Community judge those effects against what it wants to preserve, strengthen, and become - not growth for its own sake.</w:t>
      </w:r>
    </w:p>
    <w:p w14:paraId="230575D6" w14:textId="5B113AB9" w:rsidR="006A287D" w:rsidRPr="004F5001" w:rsidRDefault="00000000" w:rsidP="004F5001">
      <w:pPr>
        <w:numPr>
          <w:ilvl w:val="0"/>
          <w:numId w:val="11"/>
        </w:numPr>
        <w:spacing w:after="60" w:line="240" w:lineRule="auto"/>
        <w:ind w:left="540"/>
        <w:rPr>
          <w:sz w:val="24"/>
          <w:szCs w:val="24"/>
        </w:rPr>
      </w:pPr>
      <w:r w:rsidRPr="004F5001">
        <w:rPr>
          <w:b/>
          <w:sz w:val="24"/>
          <w:szCs w:val="24"/>
        </w:rPr>
        <w:t xml:space="preserve">e-Consensus Forum and Community Voice. </w:t>
      </w:r>
      <w:r w:rsidRPr="004F5001">
        <w:rPr>
          <w:sz w:val="24"/>
          <w:szCs w:val="24"/>
        </w:rPr>
        <w:t>Virtualization can expose employer, transportation, service, housing, broadband, licensing, reimbursement, and other policy barriers. e-Consensus helps residents and institutions understand them, develop Community-supported positions, and influence the organizations that hold formal authority.</w:t>
      </w:r>
    </w:p>
    <w:p w14:paraId="23865654" w14:textId="3F06ACFD" w:rsidR="006A287D" w:rsidRPr="004F5001" w:rsidRDefault="00000000" w:rsidP="004F5001">
      <w:pPr>
        <w:numPr>
          <w:ilvl w:val="0"/>
          <w:numId w:val="11"/>
        </w:numPr>
        <w:spacing w:after="60" w:line="240" w:lineRule="auto"/>
        <w:ind w:left="540"/>
        <w:rPr>
          <w:sz w:val="24"/>
          <w:szCs w:val="24"/>
        </w:rPr>
      </w:pPr>
      <w:r w:rsidRPr="004F5001">
        <w:rPr>
          <w:b/>
          <w:sz w:val="24"/>
          <w:szCs w:val="24"/>
        </w:rPr>
        <w:t xml:space="preserve">Community Alliance. </w:t>
      </w:r>
      <w:r w:rsidRPr="004F5001">
        <w:rPr>
          <w:sz w:val="24"/>
          <w:szCs w:val="24"/>
        </w:rPr>
        <w:t>Virtualization changes work, management, technology, facilities, continuity, transportation, family life, and Community economics. The Alliance brings research, examples, expertise, education, and competing perspectives into the discussion so those changes are understood before decisions are made.</w:t>
      </w:r>
    </w:p>
    <w:p w14:paraId="73AAA835" w14:textId="7E274CC9" w:rsidR="006A287D" w:rsidRPr="004F5001" w:rsidRDefault="00000000" w:rsidP="004F5001">
      <w:pPr>
        <w:numPr>
          <w:ilvl w:val="0"/>
          <w:numId w:val="11"/>
        </w:numPr>
        <w:spacing w:after="60" w:line="240" w:lineRule="auto"/>
        <w:ind w:left="540"/>
        <w:rPr>
          <w:sz w:val="24"/>
          <w:szCs w:val="24"/>
        </w:rPr>
      </w:pPr>
      <w:r w:rsidRPr="004F5001">
        <w:rPr>
          <w:b/>
          <w:sz w:val="24"/>
          <w:szCs w:val="24"/>
        </w:rPr>
        <w:lastRenderedPageBreak/>
        <w:t xml:space="preserve">Viability Index. </w:t>
      </w:r>
      <w:r w:rsidRPr="004F5001">
        <w:rPr>
          <w:sz w:val="24"/>
          <w:szCs w:val="24"/>
        </w:rPr>
        <w:t>Viability measures WVP effects on workforce participation, income, population stability, housing, transportation, broadband, service access, resilience, and other conditions. It can also identify Communities where virtualization may solve a problem, create an opportunity, or require complementary investment.</w:t>
      </w:r>
    </w:p>
    <w:p w14:paraId="7503F555" w14:textId="44B9A3EB" w:rsidR="006A287D" w:rsidRPr="004F5001" w:rsidRDefault="00000000" w:rsidP="004F5001">
      <w:pPr>
        <w:numPr>
          <w:ilvl w:val="0"/>
          <w:numId w:val="11"/>
        </w:numPr>
        <w:spacing w:after="60" w:line="240" w:lineRule="auto"/>
        <w:ind w:left="540"/>
        <w:rPr>
          <w:sz w:val="24"/>
          <w:szCs w:val="24"/>
        </w:rPr>
      </w:pPr>
      <w:r w:rsidRPr="004F5001">
        <w:rPr>
          <w:b/>
          <w:sz w:val="24"/>
          <w:szCs w:val="24"/>
        </w:rPr>
        <w:t xml:space="preserve">TeleCenter. </w:t>
      </w:r>
      <w:r w:rsidRPr="004F5001">
        <w:rPr>
          <w:sz w:val="24"/>
          <w:szCs w:val="24"/>
        </w:rPr>
        <w:t>The home remains the preferred endpoint whenever practical. The TeleCenter supports the exceptions - specialized technology, secure transactions, training, equipment, connectivity, employer support, continuity functions, meetings, and other requirements that cannot efficiently be delivered to every home - and helps newcomers connect virtual employment to Community life.</w:t>
      </w:r>
    </w:p>
    <w:p w14:paraId="33E7B64A" w14:textId="20D2539A" w:rsidR="006A287D" w:rsidRPr="004F5001" w:rsidRDefault="00000000" w:rsidP="004F5001">
      <w:pPr>
        <w:numPr>
          <w:ilvl w:val="0"/>
          <w:numId w:val="11"/>
        </w:numPr>
        <w:spacing w:after="60" w:line="240" w:lineRule="auto"/>
        <w:ind w:left="540"/>
        <w:rPr>
          <w:sz w:val="24"/>
          <w:szCs w:val="24"/>
        </w:rPr>
      </w:pPr>
      <w:r w:rsidRPr="004F5001">
        <w:rPr>
          <w:b/>
          <w:sz w:val="24"/>
          <w:szCs w:val="24"/>
        </w:rPr>
        <w:t xml:space="preserve">Regional Transit. </w:t>
      </w:r>
      <w:r w:rsidRPr="004F5001">
        <w:rPr>
          <w:sz w:val="24"/>
          <w:szCs w:val="24"/>
        </w:rPr>
        <w:t>Virtualization reduces unnecessary routine travel; Regional Transit supports the movement that still matters. WVP supplies employer-side travel-demand intelligence, while Transit provides physical access for periodic office trips, training, healthcare, airports, freight, emergency personnel, continuity workers, and other needs requiring presence.</w:t>
      </w:r>
    </w:p>
    <w:p w14:paraId="626D2AE8" w14:textId="77777777" w:rsidR="004F5001" w:rsidRDefault="004F5001" w:rsidP="004F5001">
      <w:pPr>
        <w:spacing w:after="60" w:line="240" w:lineRule="auto"/>
      </w:pPr>
    </w:p>
    <w:p w14:paraId="5B490AD3" w14:textId="77777777" w:rsidR="006A287D" w:rsidRPr="004F5001" w:rsidRDefault="00000000">
      <w:pPr>
        <w:spacing w:after="60" w:line="240" w:lineRule="auto"/>
        <w:rPr>
          <w:sz w:val="24"/>
          <w:szCs w:val="24"/>
        </w:rPr>
      </w:pPr>
      <w:r w:rsidRPr="004F5001">
        <w:rPr>
          <w:b/>
          <w:sz w:val="24"/>
          <w:szCs w:val="24"/>
        </w:rPr>
        <w:t>THE INTEGRATED RESULT</w:t>
      </w:r>
    </w:p>
    <w:p w14:paraId="1C31279B" w14:textId="77777777" w:rsidR="006A287D" w:rsidRPr="004F5001" w:rsidRDefault="00000000">
      <w:pPr>
        <w:spacing w:after="60" w:line="240" w:lineRule="auto"/>
        <w:rPr>
          <w:sz w:val="24"/>
          <w:szCs w:val="24"/>
        </w:rPr>
      </w:pPr>
      <w:r w:rsidRPr="004F5001">
        <w:rPr>
          <w:sz w:val="24"/>
          <w:szCs w:val="24"/>
        </w:rPr>
        <w:t>WVP makes work more portable. The Lens makes Community choices visible. Visioning and Governance protect Community direction. The Alliance builds understanding. e-Consensus builds informed Community judgment and helps address institutional barriers. Viability measures the results. The TeleCenter supports physical exceptions and local implementation. Regional Transit connects people and goods when presence still matters. Together they turn workforce flexibility into Freedom of Residential Choice while strengthening both the employer and the Community.</w:t>
      </w:r>
    </w:p>
    <w:sectPr w:rsidR="006A287D" w:rsidRPr="004F5001" w:rsidSect="0095607E">
      <w:footerReference w:type="default" r:id="rId9"/>
      <w:pgSz w:w="15840" w:h="12240" w:orient="landscape"/>
      <w:pgMar w:top="1440"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256F6" w14:textId="77777777" w:rsidR="00CF52F2" w:rsidRDefault="00CF52F2">
      <w:pPr>
        <w:spacing w:after="0" w:line="240" w:lineRule="auto"/>
      </w:pPr>
      <w:r>
        <w:separator/>
      </w:r>
    </w:p>
  </w:endnote>
  <w:endnote w:type="continuationSeparator" w:id="0">
    <w:p w14:paraId="16041D05" w14:textId="77777777" w:rsidR="00CF52F2" w:rsidRDefault="00CF5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CA6AE" w14:textId="77777777" w:rsidR="003918FD" w:rsidRDefault="00000000">
    <w:pPr>
      <w:pStyle w:val="Footer"/>
      <w:jc w:val="center"/>
    </w:pPr>
    <w:r>
      <w:rPr>
        <w:color w:val="5A5A5A"/>
        <w:sz w:val="16"/>
      </w:rPr>
      <w:t xml:space="preserve">© 2026 Tele-Commuter Resources, Inc. | Information Age Community | </w:t>
    </w:r>
    <w:r>
      <w:fldChar w:fldCharType="begin"/>
    </w:r>
    <w:r>
      <w:instrText>PAGE</w:instrText>
    </w:r>
    <w:r>
      <w:fldChar w:fldCharType="separate"/>
    </w:r>
    <w:r w:rsidR="0049004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FC964" w14:textId="77777777" w:rsidR="00CF52F2" w:rsidRDefault="00CF52F2">
      <w:pPr>
        <w:spacing w:after="0" w:line="240" w:lineRule="auto"/>
      </w:pPr>
      <w:r>
        <w:separator/>
      </w:r>
    </w:p>
  </w:footnote>
  <w:footnote w:type="continuationSeparator" w:id="0">
    <w:p w14:paraId="544650CC" w14:textId="77777777" w:rsidR="00CF52F2" w:rsidRDefault="00CF52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603288"/>
    <w:multiLevelType w:val="hybridMultilevel"/>
    <w:tmpl w:val="AF480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C47817"/>
    <w:multiLevelType w:val="hybridMultilevel"/>
    <w:tmpl w:val="A0AECB22"/>
    <w:lvl w:ilvl="0" w:tplc="0409000F">
      <w:start w:val="1"/>
      <w:numFmt w:val="decimal"/>
      <w:lvlText w:val="%1."/>
      <w:lvlJc w:val="left"/>
      <w:pPr>
        <w:ind w:left="2368" w:hanging="360"/>
      </w:pPr>
    </w:lvl>
    <w:lvl w:ilvl="1" w:tplc="04090019" w:tentative="1">
      <w:start w:val="1"/>
      <w:numFmt w:val="lowerLetter"/>
      <w:lvlText w:val="%2."/>
      <w:lvlJc w:val="left"/>
      <w:pPr>
        <w:ind w:left="3088" w:hanging="360"/>
      </w:pPr>
    </w:lvl>
    <w:lvl w:ilvl="2" w:tplc="0409001B" w:tentative="1">
      <w:start w:val="1"/>
      <w:numFmt w:val="lowerRoman"/>
      <w:lvlText w:val="%3."/>
      <w:lvlJc w:val="right"/>
      <w:pPr>
        <w:ind w:left="3808" w:hanging="180"/>
      </w:pPr>
    </w:lvl>
    <w:lvl w:ilvl="3" w:tplc="0409000F" w:tentative="1">
      <w:start w:val="1"/>
      <w:numFmt w:val="decimal"/>
      <w:lvlText w:val="%4."/>
      <w:lvlJc w:val="left"/>
      <w:pPr>
        <w:ind w:left="4528" w:hanging="360"/>
      </w:pPr>
    </w:lvl>
    <w:lvl w:ilvl="4" w:tplc="04090019" w:tentative="1">
      <w:start w:val="1"/>
      <w:numFmt w:val="lowerLetter"/>
      <w:lvlText w:val="%5."/>
      <w:lvlJc w:val="left"/>
      <w:pPr>
        <w:ind w:left="5248" w:hanging="360"/>
      </w:pPr>
    </w:lvl>
    <w:lvl w:ilvl="5" w:tplc="0409001B" w:tentative="1">
      <w:start w:val="1"/>
      <w:numFmt w:val="lowerRoman"/>
      <w:lvlText w:val="%6."/>
      <w:lvlJc w:val="right"/>
      <w:pPr>
        <w:ind w:left="5968" w:hanging="180"/>
      </w:pPr>
    </w:lvl>
    <w:lvl w:ilvl="6" w:tplc="0409000F" w:tentative="1">
      <w:start w:val="1"/>
      <w:numFmt w:val="decimal"/>
      <w:lvlText w:val="%7."/>
      <w:lvlJc w:val="left"/>
      <w:pPr>
        <w:ind w:left="6688" w:hanging="360"/>
      </w:pPr>
    </w:lvl>
    <w:lvl w:ilvl="7" w:tplc="04090019" w:tentative="1">
      <w:start w:val="1"/>
      <w:numFmt w:val="lowerLetter"/>
      <w:lvlText w:val="%8."/>
      <w:lvlJc w:val="left"/>
      <w:pPr>
        <w:ind w:left="7408" w:hanging="360"/>
      </w:pPr>
    </w:lvl>
    <w:lvl w:ilvl="8" w:tplc="0409001B" w:tentative="1">
      <w:start w:val="1"/>
      <w:numFmt w:val="lowerRoman"/>
      <w:lvlText w:val="%9."/>
      <w:lvlJc w:val="right"/>
      <w:pPr>
        <w:ind w:left="8128" w:hanging="180"/>
      </w:pPr>
    </w:lvl>
  </w:abstractNum>
  <w:abstractNum w:abstractNumId="11" w15:restartNumberingAfterBreak="0">
    <w:nsid w:val="376D0728"/>
    <w:multiLevelType w:val="hybridMultilevel"/>
    <w:tmpl w:val="780CE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07601A"/>
    <w:multiLevelType w:val="hybridMultilevel"/>
    <w:tmpl w:val="49F8087E"/>
    <w:lvl w:ilvl="0" w:tplc="C11CF91C">
      <w:start w:val="1"/>
      <w:numFmt w:val="decimal"/>
      <w:lvlText w:val="%1."/>
      <w:lvlJc w:val="left"/>
      <w:pPr>
        <w:ind w:left="720" w:hanging="360"/>
      </w:pPr>
      <w:rPr>
        <w:rFonts w:hint="default"/>
        <w:b/>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5298085">
    <w:abstractNumId w:val="8"/>
  </w:num>
  <w:num w:numId="2" w16cid:durableId="1189178863">
    <w:abstractNumId w:val="6"/>
  </w:num>
  <w:num w:numId="3" w16cid:durableId="726996546">
    <w:abstractNumId w:val="5"/>
  </w:num>
  <w:num w:numId="4" w16cid:durableId="976489122">
    <w:abstractNumId w:val="4"/>
  </w:num>
  <w:num w:numId="5" w16cid:durableId="261451548">
    <w:abstractNumId w:val="7"/>
  </w:num>
  <w:num w:numId="6" w16cid:durableId="2126460619">
    <w:abstractNumId w:val="3"/>
  </w:num>
  <w:num w:numId="7" w16cid:durableId="472331403">
    <w:abstractNumId w:val="2"/>
  </w:num>
  <w:num w:numId="8" w16cid:durableId="1659965335">
    <w:abstractNumId w:val="1"/>
  </w:num>
  <w:num w:numId="9" w16cid:durableId="1922448647">
    <w:abstractNumId w:val="0"/>
  </w:num>
  <w:num w:numId="10" w16cid:durableId="495150190">
    <w:abstractNumId w:val="10"/>
  </w:num>
  <w:num w:numId="11" w16cid:durableId="964316830">
    <w:abstractNumId w:val="11"/>
  </w:num>
  <w:num w:numId="12" w16cid:durableId="1297486590">
    <w:abstractNumId w:val="12"/>
  </w:num>
  <w:num w:numId="13" w16cid:durableId="2612290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81F"/>
    <w:rsid w:val="0006063C"/>
    <w:rsid w:val="0015074B"/>
    <w:rsid w:val="0029639D"/>
    <w:rsid w:val="00326F90"/>
    <w:rsid w:val="003918FD"/>
    <w:rsid w:val="003A1216"/>
    <w:rsid w:val="00414ADA"/>
    <w:rsid w:val="00490043"/>
    <w:rsid w:val="004A0036"/>
    <w:rsid w:val="004F5001"/>
    <w:rsid w:val="005F359D"/>
    <w:rsid w:val="006A287D"/>
    <w:rsid w:val="0095607E"/>
    <w:rsid w:val="00AA1D8D"/>
    <w:rsid w:val="00B47730"/>
    <w:rsid w:val="00B9758C"/>
    <w:rsid w:val="00CB0664"/>
    <w:rsid w:val="00CF52F2"/>
    <w:rsid w:val="00EC37CC"/>
    <w:rsid w:val="00F31F48"/>
    <w:rsid w:val="00F511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80793"/>
  <w14:defaultImageDpi w14:val="300"/>
  <w15:docId w15:val="{488525A4-A9A2-4D3B-9D90-082EEDADB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8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86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8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8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6386E"/>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20" w:line="240" w:lineRule="auto"/>
      <w:ind w:left="259" w:hanging="173"/>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7</Pages>
  <Words>2564</Words>
  <Characters>14619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Sanger</cp:lastModifiedBy>
  <cp:revision>4</cp:revision>
  <dcterms:created xsi:type="dcterms:W3CDTF">2026-08-27T20:08:00Z</dcterms:created>
  <dcterms:modified xsi:type="dcterms:W3CDTF">2026-08-27T20:42:00Z</dcterms:modified>
  <cp:category/>
</cp:coreProperties>
</file>