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8B5CF6"/>
          <w:sz w:val="56"/>
          <w:szCs w:val="56"/>
        </w:rPr>
        <w:t xml:space="preserve">CONFETTI</w:t>
      </w:r>
    </w:p>
    <w:p>
      <w:pPr>
        <w:spacing w:after="400"/>
        <w:jc w:val="center"/>
      </w:pPr>
      <w:r>
        <w:rPr>
          <w:rFonts w:ascii="Arial" w:cs="Arial" w:eastAsia="Arial" w:hAnsi="Arial"/>
          <w:b/>
          <w:bCs/>
          <w:color w:val="1A1025"/>
          <w:sz w:val="32"/>
          <w:szCs w:val="32"/>
        </w:rPr>
        <w:t xml:space="preserve">ADVERTISING PARTNERSHIP AGREEMENT</w:t>
      </w:r>
    </w:p>
    <w:p>
      <w:pPr>
        <w:pBdr>
          <w:bottom w:val="single" w:color="8B5CF6" w:sz="4" w:space="1"/>
        </w:pBdr>
        <w:jc w:val="center"/>
      </w:pPr>
    </w:p>
    <w:p>
      <w:pPr>
        <w:spacing w:before="400"/>
      </w:pPr>
    </w:p>
    <w:p>
      <w:pPr>
        <w:spacing w:after="160"/>
      </w:pPr>
      <w:r>
        <w:rPr>
          <w:rFonts w:ascii="Arial" w:cs="Arial" w:eastAsia="Arial" w:hAnsi="Arial"/>
          <w:sz w:val="22"/>
          <w:szCs w:val="22"/>
        </w:rPr>
        <w:t xml:space="preserve">This Advertising Partnership Agreement ("Agreement") is entered into as of </w:t>
      </w:r>
      <w:r>
        <w:rPr>
          <w:rFonts w:ascii="Arial" w:cs="Arial" w:eastAsia="Arial" w:hAnsi="Arial"/>
          <w:b/>
          <w:bCs/>
          <w:sz w:val="22"/>
          <w:szCs w:val="22"/>
        </w:rPr>
        <w:t xml:space="preserve">___________________</w:t>
      </w:r>
      <w:r>
        <w:rPr>
          <w:rFonts w:ascii="Arial" w:cs="Arial" w:eastAsia="Arial" w:hAnsi="Arial"/>
          <w:sz w:val="22"/>
          <w:szCs w:val="22"/>
        </w:rPr>
        <w:t xml:space="preserve"> ("Effective Date") by and between:</w:t>
      </w:r>
    </w:p>
    <w:p>
      <w:pPr>
        <w:spacing w:before="200"/>
      </w:pPr>
    </w:p>
    <w:p>
      <w:pPr>
        <w:spacing w:after="160"/>
      </w:pPr>
      <w:r>
        <w:rPr>
          <w:rFonts w:ascii="Arial" w:cs="Arial" w:eastAsia="Arial" w:hAnsi="Arial"/>
          <w:b/>
          <w:bCs/>
          <w:sz w:val="22"/>
          <w:szCs w:val="22"/>
        </w:rPr>
        <w:t xml:space="preserve">Confetti / Heritage Power Group LLC</w:t>
      </w:r>
      <w:r>
        <w:rPr>
          <w:rFonts w:ascii="Arial" w:cs="Arial" w:eastAsia="Arial" w:hAnsi="Arial"/>
          <w:sz w:val="22"/>
          <w:szCs w:val="22"/>
        </w:rPr>
        <w:t xml:space="preserve"> ("Confetti" or "Company")</w:t>
      </w:r>
    </w:p>
    <w:p>
      <w:pPr>
        <w:spacing w:after="160"/>
      </w:pPr>
      <w:r>
        <w:rPr>
          <w:rFonts w:ascii="Arial" w:cs="Arial" w:eastAsia="Arial" w:hAnsi="Arial"/>
          <w:sz w:val="22"/>
          <w:szCs w:val="22"/>
        </w:rPr>
        <w:t xml:space="preserve">Address: ___________________________</w:t>
      </w:r>
    </w:p>
    <w:p>
      <w:pPr>
        <w:spacing w:after="160"/>
      </w:pPr>
      <w:r>
        <w:rPr>
          <w:rFonts w:ascii="Arial" w:cs="Arial" w:eastAsia="Arial" w:hAnsi="Arial"/>
          <w:sz w:val="22"/>
          <w:szCs w:val="22"/>
        </w:rPr>
        <w:t xml:space="preserve">Contact: Tyrone Crossland, Founder</w:t>
      </w:r>
    </w:p>
    <w:p>
      <w:pPr>
        <w:spacing w:after="160"/>
      </w:pPr>
      <w:r>
        <w:rPr>
          <w:rFonts w:ascii="Arial" w:cs="Arial" w:eastAsia="Arial" w:hAnsi="Arial"/>
          <w:sz w:val="22"/>
          <w:szCs w:val="22"/>
        </w:rPr>
        <w:t xml:space="preserve">Email: heritagepowergroup@gmail.com</w:t>
      </w:r>
    </w:p>
    <w:p>
      <w:pPr>
        <w:spacing w:before="100"/>
      </w:pPr>
      <w:r>
        <w:rPr>
          <w:rFonts w:ascii="Arial" w:cs="Arial" w:eastAsia="Arial" w:hAnsi="Arial"/>
          <w:b/>
          <w:bCs/>
          <w:sz w:val="22"/>
          <w:szCs w:val="22"/>
        </w:rPr>
        <w:t xml:space="preserve">AND</w:t>
      </w:r>
    </w:p>
    <w:p>
      <w:pPr>
        <w:spacing w:before="200"/>
      </w:pPr>
    </w:p>
    <w:p>
      <w:pPr>
        <w:spacing w:after="160"/>
      </w:pPr>
      <w:r>
        <w:rPr>
          <w:rFonts w:ascii="Arial" w:cs="Arial" w:eastAsia="Arial" w:hAnsi="Arial"/>
          <w:b/>
          <w:bCs/>
          <w:sz w:val="22"/>
          <w:szCs w:val="22"/>
        </w:rPr>
        <w:t xml:space="preserve">___________________________</w:t>
      </w:r>
      <w:r>
        <w:rPr>
          <w:rFonts w:ascii="Arial" w:cs="Arial" w:eastAsia="Arial" w:hAnsi="Arial"/>
          <w:sz w:val="22"/>
          <w:szCs w:val="22"/>
        </w:rPr>
        <w:t xml:space="preserve"> ("Advertising Partner" or "Partner")</w:t>
      </w:r>
    </w:p>
    <w:p>
      <w:pPr>
        <w:spacing w:after="160"/>
      </w:pPr>
      <w:r>
        <w:rPr>
          <w:rFonts w:ascii="Arial" w:cs="Arial" w:eastAsia="Arial" w:hAnsi="Arial"/>
          <w:sz w:val="22"/>
          <w:szCs w:val="22"/>
        </w:rPr>
        <w:t xml:space="preserve">Business Name: ___________________________</w:t>
      </w:r>
    </w:p>
    <w:p>
      <w:pPr>
        <w:spacing w:after="160"/>
      </w:pPr>
      <w:r>
        <w:rPr>
          <w:rFonts w:ascii="Arial" w:cs="Arial" w:eastAsia="Arial" w:hAnsi="Arial"/>
          <w:sz w:val="22"/>
          <w:szCs w:val="22"/>
        </w:rPr>
        <w:t xml:space="preserve">Business Address: ___________________________</w:t>
      </w:r>
    </w:p>
    <w:p>
      <w:pPr>
        <w:spacing w:after="160"/>
      </w:pPr>
      <w:r>
        <w:rPr>
          <w:rFonts w:ascii="Arial" w:cs="Arial" w:eastAsia="Arial" w:hAnsi="Arial"/>
          <w:sz w:val="22"/>
          <w:szCs w:val="22"/>
        </w:rPr>
        <w:t xml:space="preserve">Contact Name: ___________________________</w:t>
      </w:r>
    </w:p>
    <w:p>
      <w:pPr>
        <w:spacing w:after="160"/>
      </w:pPr>
      <w:r>
        <w:rPr>
          <w:rFonts w:ascii="Arial" w:cs="Arial" w:eastAsia="Arial" w:hAnsi="Arial"/>
          <w:sz w:val="22"/>
          <w:szCs w:val="22"/>
        </w:rPr>
        <w:t xml:space="preserve">Contact Email: ___________________________</w:t>
      </w:r>
    </w:p>
    <w:p>
      <w:pPr>
        <w:spacing w:after="160"/>
      </w:pPr>
      <w:r>
        <w:rPr>
          <w:rFonts w:ascii="Arial" w:cs="Arial" w:eastAsia="Arial" w:hAnsi="Arial"/>
          <w:sz w:val="22"/>
          <w:szCs w:val="22"/>
        </w:rPr>
        <w:t xml:space="preserve">Contact Phone: ___________________________</w:t>
      </w:r>
    </w:p>
    <w:p>
      <w:pPr>
        <w:pStyle w:val="Heading2"/>
        <w:spacing w:before="300"/>
      </w:pPr>
      <w:r>
        <w:rPr>
          <w:b/>
          <w:bCs/>
        </w:rPr>
        <w:t xml:space="preserve">Section 1: Purpose and Scope</w:t>
      </w:r>
    </w:p>
    <w:p>
      <w:pPr>
        <w:spacing w:after="160"/>
      </w:pPr>
      <w:r>
        <w:rPr>
          <w:rFonts w:ascii="Arial" w:cs="Arial" w:eastAsia="Arial" w:hAnsi="Arial"/>
          <w:sz w:val="22"/>
          <w:szCs w:val="22"/>
        </w:rPr>
        <w:t xml:space="preserve">This Agreement establishes the terms under which the Advertising Partner will participate in the Confetti advertising platform. Confetti is an AI-powered lifestyle concierge application that recommends dining, nightlife, entertainment, and experience venues to users through personalized, mood-driven itineraries.</w:t>
      </w:r>
    </w:p>
    <w:p>
      <w:pPr>
        <w:spacing w:after="160"/>
      </w:pPr>
      <w:r>
        <w:rPr>
          <w:rFonts w:ascii="Arial" w:cs="Arial" w:eastAsia="Arial" w:hAnsi="Arial"/>
          <w:sz w:val="22"/>
          <w:szCs w:val="22"/>
        </w:rPr>
        <w:t xml:space="preserve">The Partner agrees to be featured within the Confetti platform in exchange for the advertising fees outlined herein. Confetti agrees to provide the services associated with the Partner's selected advertising tier.</w:t>
      </w:r>
    </w:p>
    <w:p>
      <w:pPr>
        <w:pStyle w:val="Heading2"/>
        <w:spacing w:before="300"/>
      </w:pPr>
      <w:r>
        <w:rPr>
          <w:b/>
          <w:bCs/>
        </w:rPr>
        <w:t xml:space="preserve">Section 2: Advertising Tier Selection</w:t>
      </w:r>
    </w:p>
    <w:p>
      <w:pPr>
        <w:spacing w:after="160"/>
      </w:pPr>
      <w:r>
        <w:rPr>
          <w:rFonts w:ascii="Arial" w:cs="Arial" w:eastAsia="Arial" w:hAnsi="Arial"/>
          <w:sz w:val="22"/>
          <w:szCs w:val="22"/>
        </w:rPr>
        <w:t xml:space="preserve">The Advertising Partner selects the following tier (check one):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W w:type="dxa" w:w="7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b/>
                <w:bCs/>
                <w:sz w:val="18"/>
                <w:szCs w:val="18"/>
              </w:rPr>
              <w:t xml:space="preserve">Select</w:t>
            </w:r>
          </w:p>
        </w:tc>
        <w:tc>
          <w:tcPr>
            <w:tcW w:type="dxa" w:w="28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28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Monthly Rate</w:t>
            </w:r>
          </w:p>
        </w:tc>
        <w:tc>
          <w:tcPr>
            <w:tcW w:type="dxa" w:w="28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7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sz w:val="20"/>
                <w:szCs w:val="20"/>
              </w:rPr>
              <w:t xml:space="preserve">[  ]</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Spotlight</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$79/month</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Standard listing, basic analytics, 5 Boost Credits</w:t>
            </w:r>
          </w:p>
        </w:tc>
      </w:tr>
      <w:tr>
        <w:tc>
          <w:tcPr>
            <w:tcW w:type="dxa" w:w="7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sz w:val="20"/>
                <w:szCs w:val="20"/>
              </w:rPr>
              <w:t xml:space="preserve">[  ]</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Featured</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$299/month</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Priority placement, advanced analytics, 25 Boost Credits</w:t>
            </w:r>
          </w:p>
        </w:tc>
      </w:tr>
      <w:tr>
        <w:tc>
          <w:tcPr>
            <w:tcW w:type="dxa" w:w="7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sz w:val="20"/>
                <w:szCs w:val="20"/>
              </w:rPr>
              <w:t xml:space="preserve">[  ]</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Premier</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$999/month</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Top-3 guaranteed, branded passes, 75 Boost Credits</w:t>
            </w:r>
          </w:p>
        </w:tc>
      </w:tr>
    </w:tbl>
    <w:p>
      <w:pPr>
        <w:pStyle w:val="Heading2"/>
        <w:spacing w:before="300"/>
      </w:pPr>
      <w:r>
        <w:rPr>
          <w:b/>
          <w:bCs/>
        </w:rPr>
        <w:t xml:space="preserve">Section 3: Billing and Payment Terms</w:t>
      </w:r>
    </w:p>
    <w:p>
      <w:pPr>
        <w:spacing w:after="160"/>
      </w:pPr>
      <w:r>
        <w:rPr>
          <w:rFonts w:ascii="Arial" w:cs="Arial" w:eastAsia="Arial" w:hAnsi="Arial"/>
          <w:sz w:val="22"/>
          <w:szCs w:val="22"/>
        </w:rPr>
        <w:t xml:space="preserve">3.1 Billing Cycle. The Advertising Partner selects the following billing arrangement (check one):</w:t>
      </w:r>
    </w:p>
    <w:p>
      <w:pPr>
        <w:pStyle w:val="ListParagraph"/>
        <w:numPr>
          <w:ilvl w:val="0"/>
          <w:numId w:val="2"/>
        </w:numPr>
        <w:spacing w:after="60"/>
      </w:pPr>
      <w:r>
        <w:rPr>
          <w:rFonts w:ascii="Arial" w:cs="Arial" w:eastAsia="Arial" w:hAnsi="Arial"/>
          <w:sz w:val="22"/>
          <w:szCs w:val="22"/>
        </w:rPr>
        <w:t xml:space="preserve">[  ] Monthly — billed on the 1st of each month</w:t>
      </w:r>
    </w:p>
    <w:p>
      <w:pPr>
        <w:pStyle w:val="ListParagraph"/>
        <w:numPr>
          <w:ilvl w:val="0"/>
          <w:numId w:val="2"/>
        </w:numPr>
        <w:spacing w:after="60"/>
      </w:pPr>
      <w:r>
        <w:rPr>
          <w:rFonts w:ascii="Arial" w:cs="Arial" w:eastAsia="Arial" w:hAnsi="Arial"/>
          <w:sz w:val="22"/>
          <w:szCs w:val="22"/>
        </w:rPr>
        <w:t xml:space="preserve">[  ] Quarterly — billed every 3 months (10% discount applied)</w:t>
      </w:r>
    </w:p>
    <w:p>
      <w:pPr>
        <w:pStyle w:val="ListParagraph"/>
        <w:numPr>
          <w:ilvl w:val="0"/>
          <w:numId w:val="2"/>
        </w:numPr>
        <w:spacing w:after="160"/>
      </w:pPr>
      <w:r>
        <w:rPr>
          <w:rFonts w:ascii="Arial" w:cs="Arial" w:eastAsia="Arial" w:hAnsi="Arial"/>
          <w:sz w:val="22"/>
          <w:szCs w:val="22"/>
        </w:rPr>
        <w:t xml:space="preserve">[  ] Annual — billed once per year (20% discount applied)</w:t>
      </w:r>
    </w:p>
    <w:p>
      <w:pPr>
        <w:spacing w:after="160"/>
      </w:pPr>
      <w:r>
        <w:rPr>
          <w:rFonts w:ascii="Arial" w:cs="Arial" w:eastAsia="Arial" w:hAnsi="Arial"/>
          <w:sz w:val="22"/>
          <w:szCs w:val="22"/>
        </w:rPr>
        <w:t xml:space="preserve">3.2 Payment Method. Payments will be processed via credit card, ACH bank transfer, or wire transfer. Partner authorizes automatic recurring charges for the selected billing cycle.</w:t>
      </w:r>
    </w:p>
    <w:p>
      <w:pPr>
        <w:spacing w:after="160"/>
      </w:pPr>
      <w:r>
        <w:rPr>
          <w:rFonts w:ascii="Arial" w:cs="Arial" w:eastAsia="Arial" w:hAnsi="Arial"/>
          <w:sz w:val="22"/>
          <w:szCs w:val="22"/>
        </w:rPr>
        <w:t xml:space="preserve">3.3 Founding Partner Trial. If applicable, the first 30 calendar days from the Effective Date shall be provided at no charge. Billing commences on Day 31 unless the Partner cancels per Section 7.</w:t>
      </w:r>
    </w:p>
    <w:p>
      <w:pPr>
        <w:spacing w:after="160"/>
      </w:pPr>
      <w:r>
        <w:rPr>
          <w:rFonts w:ascii="Arial" w:cs="Arial" w:eastAsia="Arial" w:hAnsi="Arial"/>
          <w:sz w:val="22"/>
          <w:szCs w:val="22"/>
        </w:rPr>
        <w:t xml:space="preserve">3.4 Late Payments. Payments not received within 10 days of the due date will incur a late fee of 1.5% per month on the outstanding balance. Confetti reserves the right to suspend advertising services after 15 days of non-payment.</w:t>
      </w:r>
    </w:p>
    <w:p>
      <w:pPr>
        <w:spacing w:after="160"/>
      </w:pPr>
      <w:r>
        <w:rPr>
          <w:rFonts w:ascii="Arial" w:cs="Arial" w:eastAsia="Arial" w:hAnsi="Arial"/>
          <w:sz w:val="22"/>
          <w:szCs w:val="22"/>
        </w:rPr>
        <w:t xml:space="preserve">3.5 Rate Lock. Founding Partners who execute this Agreement during the founding period shall retain their selected rate for the duration of their continuous subscription, regardless of future standard rate increases.</w:t>
      </w:r>
    </w:p>
    <w:p>
      <w:pPr>
        <w:spacing w:after="160"/>
      </w:pPr>
      <w:r>
        <w:rPr>
          <w:rFonts w:ascii="Arial" w:cs="Arial" w:eastAsia="Arial" w:hAnsi="Arial"/>
          <w:sz w:val="22"/>
          <w:szCs w:val="22"/>
        </w:rPr>
        <w:t xml:space="preserve">3.6 Additional Boost Credits. Boost Credits beyond the tier allocation may be purchased at $15 each or $120 per 10-pack. Credits expire at the end of each billing cycle and do not roll over.</w:t>
      </w:r>
    </w:p>
    <w:p>
      <w:r>
        <w:br w:type="page"/>
      </w:r>
    </w:p>
    <w:p>
      <w:pPr>
        <w:pStyle w:val="Heading2"/>
        <w:spacing w:before="300"/>
      </w:pPr>
      <w:r>
        <w:rPr>
          <w:b/>
          <w:bCs/>
        </w:rPr>
        <w:t xml:space="preserve">Section 4: Services Provided by Confetti</w:t>
      </w:r>
    </w:p>
    <w:p>
      <w:pPr>
        <w:spacing w:after="160"/>
      </w:pPr>
      <w:r>
        <w:rPr>
          <w:rFonts w:ascii="Arial" w:cs="Arial" w:eastAsia="Arial" w:hAnsi="Arial"/>
          <w:sz w:val="22"/>
          <w:szCs w:val="22"/>
        </w:rPr>
        <w:t xml:space="preserve">4.1 Confetti will provide the following services based on the selected tier:</w:t>
      </w:r>
    </w:p>
    <w:p>
      <w:pPr>
        <w:pStyle w:val="ListParagraph"/>
        <w:numPr>
          <w:ilvl w:val="0"/>
          <w:numId w:val="3"/>
        </w:numPr>
        <w:spacing w:after="80"/>
      </w:pPr>
      <w:r>
        <w:rPr>
          <w:rFonts w:ascii="Arial" w:cs="Arial" w:eastAsia="Arial" w:hAnsi="Arial"/>
          <w:sz w:val="21"/>
          <w:szCs w:val="21"/>
        </w:rPr>
        <w:t xml:space="preserve">Creation and maintenance of a venue profile page within the Confetti platform</w:t>
      </w:r>
    </w:p>
    <w:p>
      <w:pPr>
        <w:pStyle w:val="ListParagraph"/>
        <w:numPr>
          <w:ilvl w:val="0"/>
          <w:numId w:val="3"/>
        </w:numPr>
        <w:spacing w:after="80"/>
      </w:pPr>
      <w:r>
        <w:rPr>
          <w:rFonts w:ascii="Arial" w:cs="Arial" w:eastAsia="Arial" w:hAnsi="Arial"/>
          <w:sz w:val="21"/>
          <w:szCs w:val="21"/>
        </w:rPr>
        <w:t xml:space="preserve">Inclusion in AI-generated itinerary recommendations to matched users</w:t>
      </w:r>
    </w:p>
    <w:p>
      <w:pPr>
        <w:pStyle w:val="ListParagraph"/>
        <w:numPr>
          <w:ilvl w:val="0"/>
          <w:numId w:val="3"/>
        </w:numPr>
        <w:spacing w:after="80"/>
      </w:pPr>
      <w:r>
        <w:rPr>
          <w:rFonts w:ascii="Arial" w:cs="Arial" w:eastAsia="Arial" w:hAnsi="Arial"/>
          <w:sz w:val="21"/>
          <w:szCs w:val="21"/>
        </w:rPr>
        <w:t xml:space="preserve">Access to the analytics dashboard at the tier-appropriate level</w:t>
      </w:r>
    </w:p>
    <w:p>
      <w:pPr>
        <w:pStyle w:val="ListParagraph"/>
        <w:numPr>
          <w:ilvl w:val="0"/>
          <w:numId w:val="3"/>
        </w:numPr>
        <w:spacing w:after="80"/>
      </w:pPr>
      <w:r>
        <w:rPr>
          <w:rFonts w:ascii="Arial" w:cs="Arial" w:eastAsia="Arial" w:hAnsi="Arial"/>
          <w:sz w:val="21"/>
          <w:szCs w:val="21"/>
        </w:rPr>
        <w:t xml:space="preserve">Boost Credit allocation per the selected tier</w:t>
      </w:r>
    </w:p>
    <w:p>
      <w:pPr>
        <w:pStyle w:val="ListParagraph"/>
        <w:numPr>
          <w:ilvl w:val="0"/>
          <w:numId w:val="3"/>
        </w:numPr>
        <w:spacing w:after="80"/>
      </w:pPr>
      <w:r>
        <w:rPr>
          <w:rFonts w:ascii="Arial" w:cs="Arial" w:eastAsia="Arial" w:hAnsi="Arial"/>
          <w:sz w:val="21"/>
          <w:szCs w:val="21"/>
        </w:rPr>
        <w:t xml:space="preserve">Additional tier-specific features as outlined in the current Rate Card</w:t>
      </w:r>
    </w:p>
    <w:p>
      <w:pPr>
        <w:spacing w:after="100"/>
      </w:pPr>
    </w:p>
    <w:p>
      <w:pPr>
        <w:spacing w:after="160"/>
      </w:pPr>
      <w:r>
        <w:rPr>
          <w:rFonts w:ascii="Arial" w:cs="Arial" w:eastAsia="Arial" w:hAnsi="Arial"/>
          <w:sz w:val="22"/>
          <w:szCs w:val="22"/>
        </w:rPr>
        <w:t xml:space="preserve">4.2 Confetti will use commercially reasonable efforts to display the Partner's venue to relevant users but does not guarantee any specific number of impressions, clicks, visits, or revenue outcomes.</w:t>
      </w:r>
    </w:p>
    <w:p>
      <w:pPr>
        <w:spacing w:after="160"/>
      </w:pPr>
      <w:r>
        <w:rPr>
          <w:rFonts w:ascii="Arial" w:cs="Arial" w:eastAsia="Arial" w:hAnsi="Arial"/>
          <w:sz w:val="22"/>
          <w:szCs w:val="22"/>
        </w:rPr>
        <w:t xml:space="preserve">4.3 Confetti reserves the right to modify platform features, algorithms, and display formats at its sole discretion, provided that the core services of the selected tier remain substantially available.</w:t>
      </w:r>
    </w:p>
    <w:p>
      <w:pPr>
        <w:pStyle w:val="Heading2"/>
        <w:spacing w:before="300"/>
      </w:pPr>
      <w:r>
        <w:rPr>
          <w:b/>
          <w:bCs/>
        </w:rPr>
        <w:t xml:space="preserve">Section 5: Partner Obligations</w:t>
      </w:r>
    </w:p>
    <w:p>
      <w:pPr>
        <w:spacing w:after="160"/>
      </w:pPr>
      <w:r>
        <w:rPr>
          <w:rFonts w:ascii="Arial" w:cs="Arial" w:eastAsia="Arial" w:hAnsi="Arial"/>
          <w:sz w:val="22"/>
          <w:szCs w:val="22"/>
        </w:rPr>
        <w:t xml:space="preserve">5.1 The Partner will provide accurate, current information for their venue profile, including but not limited to: business name, address, hours of operation, menu or service offerings, photos, and pricing.</w:t>
      </w:r>
    </w:p>
    <w:p>
      <w:pPr>
        <w:spacing w:after="160"/>
      </w:pPr>
      <w:r>
        <w:rPr>
          <w:rFonts w:ascii="Arial" w:cs="Arial" w:eastAsia="Arial" w:hAnsi="Arial"/>
          <w:sz w:val="22"/>
          <w:szCs w:val="22"/>
        </w:rPr>
        <w:t xml:space="preserve">5.2 The Partner grants Confetti a non-exclusive, royalty-free license to use the Partner's name, logo, photographs, menu information, and descriptive content for the purposes of displaying and promoting the Partner within the Confetti platform and related marketing materials.</w:t>
      </w:r>
    </w:p>
    <w:p>
      <w:pPr>
        <w:spacing w:after="160"/>
      </w:pPr>
      <w:r>
        <w:rPr>
          <w:rFonts w:ascii="Arial" w:cs="Arial" w:eastAsia="Arial" w:hAnsi="Arial"/>
          <w:sz w:val="22"/>
          <w:szCs w:val="22"/>
        </w:rPr>
        <w:t xml:space="preserve">5.3 The Partner will notify Confetti within 48 hours of any material changes to their business information, hours, or operational status.</w:t>
      </w:r>
    </w:p>
    <w:p>
      <w:pPr>
        <w:spacing w:after="160"/>
      </w:pPr>
      <w:r>
        <w:rPr>
          <w:rFonts w:ascii="Arial" w:cs="Arial" w:eastAsia="Arial" w:hAnsi="Arial"/>
          <w:sz w:val="22"/>
          <w:szCs w:val="22"/>
        </w:rPr>
        <w:t xml:space="preserve">5.4 The Partner represents that all content provided is accurate, non-infringing, and does not violate any applicable laws or regulations.</w:t>
      </w:r>
    </w:p>
    <w:p>
      <w:pPr>
        <w:pStyle w:val="Heading2"/>
        <w:spacing w:before="300"/>
      </w:pPr>
      <w:r>
        <w:rPr>
          <w:b/>
          <w:bCs/>
        </w:rPr>
        <w:t xml:space="preserve">Section 6: Data and Privacy</w:t>
      </w:r>
    </w:p>
    <w:p>
      <w:pPr>
        <w:spacing w:after="160"/>
      </w:pPr>
      <w:r>
        <w:rPr>
          <w:rFonts w:ascii="Arial" w:cs="Arial" w:eastAsia="Arial" w:hAnsi="Arial"/>
          <w:sz w:val="22"/>
          <w:szCs w:val="22"/>
        </w:rPr>
        <w:t xml:space="preserve">6.1 Confetti will provide the Partner with aggregated, anonymized analytics data about user engagement with their venue profile. Confetti will not share personally identifiable information of individual users with the Partner.</w:t>
      </w:r>
    </w:p>
    <w:p>
      <w:pPr>
        <w:spacing w:after="160"/>
      </w:pPr>
      <w:r>
        <w:rPr>
          <w:rFonts w:ascii="Arial" w:cs="Arial" w:eastAsia="Arial" w:hAnsi="Arial"/>
          <w:sz w:val="22"/>
          <w:szCs w:val="22"/>
        </w:rPr>
        <w:t xml:space="preserve">6.2 Both parties will comply with all applicable data protection laws, including but not limited to CCPA, GDPR (where applicable), and any state or local privacy regulations.</w:t>
      </w:r>
    </w:p>
    <w:p>
      <w:pPr>
        <w:spacing w:after="160"/>
      </w:pPr>
      <w:r>
        <w:rPr>
          <w:rFonts w:ascii="Arial" w:cs="Arial" w:eastAsia="Arial" w:hAnsi="Arial"/>
          <w:sz w:val="22"/>
          <w:szCs w:val="22"/>
        </w:rPr>
        <w:t xml:space="preserve">6.3 The Partner consents to Confetti collecting and using anonymized data about venue performance for the purpose of improving the platform and its recommendation algorithms.</w:t>
      </w:r>
    </w:p>
    <w:p>
      <w:pPr>
        <w:pStyle w:val="Heading2"/>
        <w:spacing w:before="300"/>
      </w:pPr>
      <w:r>
        <w:rPr>
          <w:b/>
          <w:bCs/>
        </w:rPr>
        <w:t xml:space="preserve">Section 7: Term and Termination</w:t>
      </w:r>
    </w:p>
    <w:p>
      <w:pPr>
        <w:spacing w:after="160"/>
      </w:pPr>
      <w:r>
        <w:rPr>
          <w:rFonts w:ascii="Arial" w:cs="Arial" w:eastAsia="Arial" w:hAnsi="Arial"/>
          <w:sz w:val="22"/>
          <w:szCs w:val="22"/>
        </w:rPr>
        <w:t xml:space="preserve">7.1 This Agreement begins on the Effective Date and continues for the selected billing cycle, automatically renewing for successive periods of the same length unless either party provides written notice of non-renewal at least 30 days before the end of the current term.</w:t>
      </w:r>
    </w:p>
    <w:p>
      <w:pPr>
        <w:spacing w:after="160"/>
      </w:pPr>
      <w:r>
        <w:rPr>
          <w:rFonts w:ascii="Arial" w:cs="Arial" w:eastAsia="Arial" w:hAnsi="Arial"/>
          <w:sz w:val="22"/>
          <w:szCs w:val="22"/>
        </w:rPr>
        <w:t xml:space="preserve">7.2 Either party may terminate this Agreement for cause with 15 days written notice if the other party materially breaches this Agreement and fails to cure such breach within the notice period.</w:t>
      </w:r>
    </w:p>
    <w:p>
      <w:pPr>
        <w:spacing w:after="160"/>
      </w:pPr>
      <w:r>
        <w:rPr>
          <w:rFonts w:ascii="Arial" w:cs="Arial" w:eastAsia="Arial" w:hAnsi="Arial"/>
          <w:sz w:val="22"/>
          <w:szCs w:val="22"/>
        </w:rPr>
        <w:t xml:space="preserve">7.3 Monthly subscribers may cancel at any time with 30 days written notice. The subscription will remain active through the end of the paid period.</w:t>
      </w:r>
    </w:p>
    <w:p>
      <w:pPr>
        <w:spacing w:after="160"/>
      </w:pPr>
      <w:r>
        <w:rPr>
          <w:rFonts w:ascii="Arial" w:cs="Arial" w:eastAsia="Arial" w:hAnsi="Arial"/>
          <w:sz w:val="22"/>
          <w:szCs w:val="22"/>
        </w:rPr>
        <w:t xml:space="preserve">7.4 Quarterly and annual subscribers who cancel before the end of their commitment period will not receive a refund for the remaining prepaid balance, unless cancellation is due to a material breach by Confetti.</w:t>
      </w:r>
    </w:p>
    <w:p>
      <w:pPr>
        <w:spacing w:after="160"/>
      </w:pPr>
      <w:r>
        <w:rPr>
          <w:rFonts w:ascii="Arial" w:cs="Arial" w:eastAsia="Arial" w:hAnsi="Arial"/>
          <w:sz w:val="22"/>
          <w:szCs w:val="22"/>
        </w:rPr>
        <w:t xml:space="preserve">7.5 Upon termination, Confetti will remove the Partner's profile from the platform within 7 business days. Any unused Boost Credits will be forfeited.</w:t>
      </w:r>
    </w:p>
    <w:p>
      <w:r>
        <w:br w:type="page"/>
      </w:r>
    </w:p>
    <w:p>
      <w:pPr>
        <w:pStyle w:val="Heading2"/>
        <w:spacing w:before="300"/>
      </w:pPr>
      <w:r>
        <w:rPr>
          <w:b/>
          <w:bCs/>
        </w:rPr>
        <w:t xml:space="preserve">Section 8: Limitation of Liability</w:t>
      </w:r>
    </w:p>
    <w:p>
      <w:pPr>
        <w:spacing w:after="160"/>
      </w:pPr>
      <w:r>
        <w:rPr>
          <w:rFonts w:ascii="Arial" w:cs="Arial" w:eastAsia="Arial" w:hAnsi="Arial"/>
          <w:sz w:val="22"/>
          <w:szCs w:val="22"/>
        </w:rPr>
        <w:t xml:space="preserve">8.1 Confetti's total aggregate liability under this Agreement shall not exceed the total fees paid by the Partner in the 12 months preceding the claim.</w:t>
      </w:r>
    </w:p>
    <w:p>
      <w:pPr>
        <w:spacing w:after="160"/>
      </w:pPr>
      <w:r>
        <w:rPr>
          <w:rFonts w:ascii="Arial" w:cs="Arial" w:eastAsia="Arial" w:hAnsi="Arial"/>
          <w:sz w:val="22"/>
          <w:szCs w:val="22"/>
        </w:rPr>
        <w:t xml:space="preserve">8.2 Neither party shall be liable for indirect, incidental, consequential, special, or punitive damages arising from this Agreement, including but not limited to lost profits, lost business, or loss of data.</w:t>
      </w:r>
    </w:p>
    <w:p>
      <w:pPr>
        <w:spacing w:after="160"/>
      </w:pPr>
      <w:r>
        <w:rPr>
          <w:rFonts w:ascii="Arial" w:cs="Arial" w:eastAsia="Arial" w:hAnsi="Arial"/>
          <w:sz w:val="22"/>
          <w:szCs w:val="22"/>
        </w:rPr>
        <w:t xml:space="preserve">8.3 Confetti is not responsible for the Partner's business performance, foot traffic, revenue, or any outcomes resulting from or related to the Partner's inclusion on the platform.</w:t>
      </w:r>
    </w:p>
    <w:p>
      <w:pPr>
        <w:pStyle w:val="Heading2"/>
        <w:spacing w:before="300"/>
      </w:pPr>
      <w:r>
        <w:rPr>
          <w:b/>
          <w:bCs/>
        </w:rPr>
        <w:t xml:space="preserve">Section 9: Intellectual Property</w:t>
      </w:r>
    </w:p>
    <w:p>
      <w:pPr>
        <w:spacing w:after="160"/>
      </w:pPr>
      <w:r>
        <w:rPr>
          <w:rFonts w:ascii="Arial" w:cs="Arial" w:eastAsia="Arial" w:hAnsi="Arial"/>
          <w:sz w:val="22"/>
          <w:szCs w:val="22"/>
        </w:rPr>
        <w:t xml:space="preserve">9.1 Each party retains ownership of its pre-existing intellectual property. No transfer of ownership is implied by this Agreement.</w:t>
      </w:r>
    </w:p>
    <w:p>
      <w:pPr>
        <w:spacing w:after="160"/>
      </w:pPr>
      <w:r>
        <w:rPr>
          <w:rFonts w:ascii="Arial" w:cs="Arial" w:eastAsia="Arial" w:hAnsi="Arial"/>
          <w:sz w:val="22"/>
          <w:szCs w:val="22"/>
        </w:rPr>
        <w:t xml:space="preserve">9.2 The license granted in Section 5.2 terminates upon termination of this Agreement, and Confetti will cease use of the Partner's materials within 30 days of termination.</w:t>
      </w:r>
    </w:p>
    <w:p>
      <w:pPr>
        <w:pStyle w:val="Heading2"/>
        <w:spacing w:before="300"/>
      </w:pPr>
      <w:r>
        <w:rPr>
          <w:b/>
          <w:bCs/>
        </w:rPr>
        <w:t xml:space="preserve">Section 10: Confidentiality</w:t>
      </w:r>
    </w:p>
    <w:p>
      <w:pPr>
        <w:spacing w:after="160"/>
      </w:pPr>
      <w:r>
        <w:rPr>
          <w:rFonts w:ascii="Arial" w:cs="Arial" w:eastAsia="Arial" w:hAnsi="Arial"/>
          <w:sz w:val="22"/>
          <w:szCs w:val="22"/>
        </w:rPr>
        <w:t xml:space="preserve">10.1 Both parties agree to keep confidential any proprietary or non-public information shared during the course of this partnership, including but not limited to pricing terms, business strategies, analytics data, and technical specifications.</w:t>
      </w:r>
    </w:p>
    <w:p>
      <w:pPr>
        <w:spacing w:after="160"/>
      </w:pPr>
      <w:r>
        <w:rPr>
          <w:rFonts w:ascii="Arial" w:cs="Arial" w:eastAsia="Arial" w:hAnsi="Arial"/>
          <w:sz w:val="22"/>
          <w:szCs w:val="22"/>
        </w:rPr>
        <w:t xml:space="preserve">10.2 This obligation survives termination of this Agreement for a period of 2 years.</w:t>
      </w:r>
    </w:p>
    <w:p>
      <w:pPr>
        <w:pStyle w:val="Heading2"/>
        <w:spacing w:before="300"/>
      </w:pPr>
      <w:r>
        <w:rPr>
          <w:b/>
          <w:bCs/>
        </w:rPr>
        <w:t xml:space="preserve">Section 11: Indemnification</w:t>
      </w:r>
    </w:p>
    <w:p>
      <w:pPr>
        <w:spacing w:after="160"/>
      </w:pPr>
      <w:r>
        <w:rPr>
          <w:rFonts w:ascii="Arial" w:cs="Arial" w:eastAsia="Arial" w:hAnsi="Arial"/>
          <w:sz w:val="22"/>
          <w:szCs w:val="22"/>
        </w:rPr>
        <w:t xml:space="preserve">11.1 The Partner agrees to indemnify and hold harmless Confetti, its officers, directors, employees, and agents from any claims, damages, or expenses arising from the Partner's content, business operations, or breach of this Agreement.</w:t>
      </w:r>
    </w:p>
    <w:p>
      <w:pPr>
        <w:spacing w:after="160"/>
      </w:pPr>
      <w:r>
        <w:rPr>
          <w:rFonts w:ascii="Arial" w:cs="Arial" w:eastAsia="Arial" w:hAnsi="Arial"/>
          <w:sz w:val="22"/>
          <w:szCs w:val="22"/>
        </w:rPr>
        <w:t xml:space="preserve">11.2 Confetti agrees to indemnify and hold harmless the Partner from any claims, damages, or expenses arising from Confetti's platform operations, data handling practices, or breach of this Agreement.</w:t>
      </w:r>
    </w:p>
    <w:p>
      <w:pPr>
        <w:pStyle w:val="Heading2"/>
        <w:spacing w:before="300"/>
      </w:pPr>
      <w:r>
        <w:rPr>
          <w:b/>
          <w:bCs/>
        </w:rPr>
        <w:t xml:space="preserve">Section 12: General Provisions</w:t>
      </w:r>
    </w:p>
    <w:p>
      <w:pPr>
        <w:spacing w:after="160"/>
      </w:pPr>
      <w:r>
        <w:rPr>
          <w:rFonts w:ascii="Arial" w:cs="Arial" w:eastAsia="Arial" w:hAnsi="Arial"/>
          <w:sz w:val="22"/>
          <w:szCs w:val="22"/>
        </w:rPr>
        <w:t xml:space="preserve">12.1 Governing Law. This Agreement shall be governed by the laws of the District of Columbia, without regard to conflict of law principles.</w:t>
      </w:r>
    </w:p>
    <w:p>
      <w:pPr>
        <w:spacing w:after="160"/>
      </w:pPr>
      <w:r>
        <w:rPr>
          <w:rFonts w:ascii="Arial" w:cs="Arial" w:eastAsia="Arial" w:hAnsi="Arial"/>
          <w:sz w:val="22"/>
          <w:szCs w:val="22"/>
        </w:rPr>
        <w:t xml:space="preserve">12.2 Dispute Resolution. Any disputes arising under this Agreement shall first be subject to good-faith mediation. If unresolved within 30 days, disputes shall be submitted to binding arbitration in Washington, DC.</w:t>
      </w:r>
    </w:p>
    <w:p>
      <w:pPr>
        <w:spacing w:after="160"/>
      </w:pPr>
      <w:r>
        <w:rPr>
          <w:rFonts w:ascii="Arial" w:cs="Arial" w:eastAsia="Arial" w:hAnsi="Arial"/>
          <w:sz w:val="22"/>
          <w:szCs w:val="22"/>
        </w:rPr>
        <w:t xml:space="preserve">12.3 Entire Agreement. This Agreement constitutes the entire agreement between the parties and supersedes all prior negotiations, discussions, and agreements.</w:t>
      </w:r>
    </w:p>
    <w:p>
      <w:pPr>
        <w:spacing w:after="160"/>
      </w:pPr>
      <w:r>
        <w:rPr>
          <w:rFonts w:ascii="Arial" w:cs="Arial" w:eastAsia="Arial" w:hAnsi="Arial"/>
          <w:sz w:val="22"/>
          <w:szCs w:val="22"/>
        </w:rPr>
        <w:t xml:space="preserve">12.4 Amendments. This Agreement may only be modified by written amendment signed by both parties.</w:t>
      </w:r>
    </w:p>
    <w:p>
      <w:pPr>
        <w:spacing w:after="160"/>
      </w:pPr>
      <w:r>
        <w:rPr>
          <w:rFonts w:ascii="Arial" w:cs="Arial" w:eastAsia="Arial" w:hAnsi="Arial"/>
          <w:sz w:val="22"/>
          <w:szCs w:val="22"/>
        </w:rPr>
        <w:t xml:space="preserve">12.5 Assignment. Neither party may assign this Agreement without prior written consent of the other party.</w:t>
      </w:r>
    </w:p>
    <w:p>
      <w:pPr>
        <w:spacing w:after="160"/>
      </w:pPr>
      <w:r>
        <w:rPr>
          <w:rFonts w:ascii="Arial" w:cs="Arial" w:eastAsia="Arial" w:hAnsi="Arial"/>
          <w:sz w:val="22"/>
          <w:szCs w:val="22"/>
        </w:rPr>
        <w:t xml:space="preserve">12.6 Severability. If any provision is found unenforceable, the remaining provisions shall continue in full force and effect.</w:t>
      </w:r>
    </w:p>
    <w:p>
      <w:pPr>
        <w:spacing w:after="160"/>
      </w:pPr>
      <w:r>
        <w:rPr>
          <w:rFonts w:ascii="Arial" w:cs="Arial" w:eastAsia="Arial" w:hAnsi="Arial"/>
          <w:sz w:val="22"/>
          <w:szCs w:val="22"/>
        </w:rPr>
        <w:t xml:space="preserve">12.7 Force Majeure. Neither party shall be liable for failure to perform due to events beyond their reasonable control, including natural disasters, pandemics, government actions, or infrastructure failures.</w:t>
      </w:r>
    </w:p>
    <w:p>
      <w:r>
        <w:br w:type="page"/>
      </w:r>
    </w:p>
    <w:p>
      <w:pPr>
        <w:pStyle w:val="Heading1"/>
      </w:pPr>
      <w:r>
        <w:rPr>
          <w:b/>
          <w:bCs/>
        </w:rPr>
        <w:t xml:space="preserve">Signatures</w:t>
      </w:r>
    </w:p>
    <w:p>
      <w:pPr>
        <w:spacing w:after="160"/>
      </w:pPr>
      <w:r>
        <w:rPr>
          <w:rFonts w:ascii="Arial" w:cs="Arial" w:eastAsia="Arial" w:hAnsi="Arial"/>
          <w:sz w:val="22"/>
          <w:szCs w:val="22"/>
        </w:rPr>
        <w:t xml:space="preserve">By signing below, both parties acknowledge that they have read, understood, and agree to be bound by the terms of this Agreement.</w:t>
      </w:r>
    </w:p>
    <w:p>
      <w:pPr>
        <w:spacing w:before="400"/>
      </w:pPr>
      <w:r>
        <w:rPr>
          <w:rFonts w:ascii="Arial" w:cs="Arial" w:eastAsia="Arial" w:hAnsi="Arial"/>
          <w:b/>
          <w:bCs/>
          <w:color w:val="8B5CF6"/>
          <w:sz w:val="24"/>
          <w:szCs w:val="24"/>
        </w:rPr>
        <w:t xml:space="preserve">FOR CONFETTI / HERITAGE POWER GROUP LLC:</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Signature</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Printed Name: Tyrone Crossland</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Title: Founder</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Date</w:t>
      </w:r>
    </w:p>
    <w:p>
      <w:pPr>
        <w:spacing w:before="600"/>
      </w:pPr>
      <w:r>
        <w:rPr>
          <w:rFonts w:ascii="Arial" w:cs="Arial" w:eastAsia="Arial" w:hAnsi="Arial"/>
          <w:b/>
          <w:bCs/>
          <w:color w:val="8B5CF6"/>
          <w:sz w:val="24"/>
          <w:szCs w:val="24"/>
        </w:rPr>
        <w:t xml:space="preserve">FOR ADVERTISING PARTNER:</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Signature</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Printed Name</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Title</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Date</w:t>
      </w:r>
    </w:p>
    <w:p>
      <w:pPr>
        <w:pBdr>
          <w:bottom w:val="single" w:color="333333" w:sz="2" w:space="1"/>
        </w:pBdr>
        <w:spacing w:before="400"/>
      </w:pPr>
    </w:p>
    <w:p>
      <w:pPr>
        <w:spacing w:after="160"/>
        <w:rPr>
          <w:color w:val="666666"/>
          <w:sz w:val="18"/>
          <w:szCs w:val="18"/>
        </w:rPr>
      </w:pPr>
      <w:r>
        <w:rPr>
          <w:rFonts w:ascii="Arial" w:cs="Arial" w:eastAsia="Arial" w:hAnsi="Arial"/>
          <w:color w:val="666666"/>
          <w:sz w:val="18"/>
          <w:szCs w:val="18"/>
        </w:rPr>
        <w:t xml:space="preserve">Business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Confetti Advertising Partnership Agreement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8B5CF6"/>
        <w:sz w:val="18"/>
        <w:szCs w:val="18"/>
      </w:rPr>
      <w:t xml:space="preserve">CONFETTI ADVERTISING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025"/>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8B5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2026-05-11T05:58:52.831Z</dcterms:created>
  <dcterms:modified xsi:type="dcterms:W3CDTF">2026-05-11T05:58:52.831Z</dcterms:modified>
</cp:coreProperties>
</file>

<file path=docProps/custom.xml><?xml version="1.0" encoding="utf-8"?>
<Properties xmlns="http://schemas.openxmlformats.org/officeDocument/2006/custom-properties" xmlns:vt="http://schemas.openxmlformats.org/officeDocument/2006/docPropsVTypes"/>
</file>