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Confetti Privacy Policy</w:t>
      </w:r>
    </w:p>
    <w:p>
      <w:pPr>
        <w:spacing w:after="120"/>
      </w:pPr>
      <w:r>
        <w:rPr>
          <w:i/>
          <w:iCs/>
          <w:color w:val="666666"/>
        </w:rPr>
        <w:t xml:space="preserve">Effective Date: May 19, 2026  |  Last Updated: May 19, 2026</w:t>
      </w:r>
    </w:p>
    <w:p>
      <w:pPr>
        <w:spacing w:after="120"/>
      </w:pPr>
      <w:r>
        <w:t xml:space="preserve">Confetti App, LLC ("Company," "we," "us," or "our") operates the Confetti mobile application and website. This Privacy Policy describes how we collect, use, disclose, and protect your personal information when you use our Platform.</w:t>
      </w:r>
    </w:p>
    <w:p>
      <w:pPr>
        <w:pStyle w:val="Heading2"/>
      </w:pPr>
      <w:r>
        <w:t xml:space="preserve">1. Information We Collect</w:t>
      </w:r>
    </w:p>
    <w:p>
      <w:pPr>
        <w:pStyle w:val="Heading3"/>
      </w:pPr>
      <w:r>
        <w:t xml:space="preserve">1.1 Information You Provide</w:t>
      </w:r>
    </w:p>
    <w:p>
      <w:pPr>
        <w:pStyle w:val="ListParagraph"/>
        <w:numPr>
          <w:ilvl w:val="0"/>
          <w:numId w:val="2"/>
        </w:numPr>
        <w:spacing w:after="80"/>
      </w:pPr>
      <w:r>
        <w:t xml:space="preserve">Account information: name, email address, phone number, date of birth, profile photo</w:t>
      </w:r>
    </w:p>
    <w:p>
      <w:pPr>
        <w:pStyle w:val="ListParagraph"/>
        <w:numPr>
          <w:ilvl w:val="0"/>
          <w:numId w:val="2"/>
        </w:numPr>
        <w:spacing w:after="80"/>
      </w:pPr>
      <w:r>
        <w:t xml:space="preserve">Preferences: dining preferences, cuisine types, dietary restrictions, budget range, ambiance preferences</w:t>
      </w:r>
    </w:p>
    <w:p>
      <w:pPr>
        <w:pStyle w:val="ListParagraph"/>
        <w:numPr>
          <w:ilvl w:val="0"/>
          <w:numId w:val="2"/>
        </w:numPr>
        <w:spacing w:after="80"/>
      </w:pPr>
      <w:r>
        <w:t xml:space="preserve">Social data: friend connections, group activities, shared itineraries</w:t>
      </w:r>
    </w:p>
    <w:p>
      <w:pPr>
        <w:pStyle w:val="ListParagraph"/>
        <w:numPr>
          <w:ilvl w:val="0"/>
          <w:numId w:val="2"/>
        </w:numPr>
        <w:spacing w:after="80"/>
      </w:pPr>
      <w:r>
        <w:t xml:space="preserve">Communications: messages to our support team, feedback, and survey responses</w:t>
      </w:r>
    </w:p>
    <w:p>
      <w:pPr>
        <w:pStyle w:val="ListParagraph"/>
        <w:numPr>
          <w:ilvl w:val="0"/>
          <w:numId w:val="2"/>
        </w:numPr>
        <w:spacing w:after="80"/>
      </w:pPr>
      <w:r>
        <w:t xml:space="preserve">Payment information: processed through our third-party payment processor (we do not store full card numbers)</w:t>
      </w:r>
    </w:p>
    <w:p>
      <w:pPr>
        <w:pStyle w:val="Heading3"/>
      </w:pPr>
      <w:r>
        <w:t xml:space="preserve">1.2 Information Collected Automatically</w:t>
      </w:r>
    </w:p>
    <w:p>
      <w:pPr>
        <w:pStyle w:val="ListParagraph"/>
        <w:numPr>
          <w:ilvl w:val="0"/>
          <w:numId w:val="2"/>
        </w:numPr>
        <w:spacing w:after="80"/>
      </w:pPr>
      <w:r>
        <w:t xml:space="preserve">Device information: device type, operating system, unique device identifiers, browser type</w:t>
      </w:r>
    </w:p>
    <w:p>
      <w:pPr>
        <w:pStyle w:val="ListParagraph"/>
        <w:numPr>
          <w:ilvl w:val="0"/>
          <w:numId w:val="2"/>
        </w:numPr>
        <w:spacing w:after="80"/>
      </w:pPr>
      <w:r>
        <w:t xml:space="preserve">Usage data: features used, pages viewed, actions taken, time spent, interaction patterns</w:t>
      </w:r>
    </w:p>
    <w:p>
      <w:pPr>
        <w:pStyle w:val="ListParagraph"/>
        <w:numPr>
          <w:ilvl w:val="0"/>
          <w:numId w:val="2"/>
        </w:numPr>
        <w:spacing w:after="80"/>
      </w:pPr>
      <w:r>
        <w:t xml:space="preserve">Location data: precise geolocation (with your permission) to provide nearby venue recommendations</w:t>
      </w:r>
    </w:p>
    <w:p>
      <w:pPr>
        <w:pStyle w:val="ListParagraph"/>
        <w:numPr>
          <w:ilvl w:val="0"/>
          <w:numId w:val="2"/>
        </w:numPr>
        <w:spacing w:after="80"/>
      </w:pPr>
      <w:r>
        <w:t xml:space="preserve">Log data: IP address, access times, referring URLs, crash reports</w:t>
      </w:r>
    </w:p>
    <w:p>
      <w:pPr>
        <w:pStyle w:val="Heading3"/>
      </w:pPr>
      <w:r>
        <w:t xml:space="preserve">1.3 AI-Derived &amp; Profiling Data</w:t>
      </w:r>
    </w:p>
    <w:p>
      <w:pPr>
        <w:spacing w:after="120"/>
      </w:pPr>
      <w:r>
        <w:t xml:space="preserve">Our AI agents generate derived data to personalize your experience, including:</w:t>
      </w:r>
    </w:p>
    <w:p>
      <w:pPr>
        <w:pStyle w:val="ListParagraph"/>
        <w:numPr>
          <w:ilvl w:val="0"/>
          <w:numId w:val="2"/>
        </w:numPr>
        <w:spacing w:after="80"/>
      </w:pPr>
      <w:r>
        <w:t xml:space="preserve">Taste Graph: a profile of your inferred preferences across cuisine types, flavor profiles, atmosphere preferences, price sensitivity, and experience style</w:t>
      </w:r>
    </w:p>
    <w:p>
      <w:pPr>
        <w:pStyle w:val="ListParagraph"/>
        <w:numPr>
          <w:ilvl w:val="0"/>
          <w:numId w:val="2"/>
        </w:numPr>
        <w:spacing w:after="80"/>
      </w:pPr>
      <w:r>
        <w:t xml:space="preserve">Behavioral patterns: frequency of visits, time-of-day preferences, group vs. solo patterns</w:t>
      </w:r>
    </w:p>
    <w:p>
      <w:pPr>
        <w:pStyle w:val="ListParagraph"/>
        <w:numPr>
          <w:ilvl w:val="0"/>
          <w:numId w:val="2"/>
        </w:numPr>
        <w:spacing w:after="80"/>
      </w:pPr>
      <w:r>
        <w:t xml:space="preserve">Recommendation scores: algorithmic rankings used to order suggestions</w:t>
      </w:r>
    </w:p>
    <w:p>
      <w:pPr>
        <w:pStyle w:val="ListParagraph"/>
        <w:numPr>
          <w:ilvl w:val="0"/>
          <w:numId w:val="2"/>
        </w:numPr>
        <w:spacing w:after="80"/>
      </w:pPr>
      <w:r>
        <w:t xml:space="preserve">Group compatibility data: merged preference profiles when you create or join a Party Room</w:t>
      </w:r>
    </w:p>
    <w:p>
      <w:pPr>
        <w:spacing w:after="120"/>
      </w:pPr>
      <w:r>
        <w:t xml:space="preserve">This profiling is conducted under your explicit consent (GDPR Art. 6(1)(a)) and is necessary for the performance of our contract with you (Art. 6(1)(b)). You have the right to object to profiling at any time (see Section 9).</w:t>
      </w:r>
    </w:p>
    <w:p>
      <w:pPr>
        <w:pStyle w:val="Heading3"/>
      </w:pPr>
      <w:r>
        <w:t xml:space="preserve">1.4 Sensitive Personal Data (Special Categories)</w:t>
      </w:r>
    </w:p>
    <w:p>
      <w:pPr>
        <w:spacing w:after="120"/>
      </w:pPr>
      <w:r>
        <w:t xml:space="preserve">Certain preferences you provide—such as dietary restrictions (e.g., halal, kosher, allergy-related)—may reveal information about your health, religious beliefs, or philosophical beliefs, which constitute "special category" data under GDPR Art. 9.</w:t>
      </w:r>
    </w:p>
    <w:p>
      <w:pPr>
        <w:spacing w:after="120"/>
      </w:pPr>
      <w:r>
        <w:t xml:space="preserve">We process such data only with your explicit consent, which you may withdraw at any time. Withdrawal of consent does not affect the lawfulness of processing based on consent before its withdrawal.</w:t>
      </w:r>
    </w:p>
    <w:p>
      <w:pPr>
        <w:pStyle w:val="Heading2"/>
      </w:pPr>
      <w:r>
        <w:t xml:space="preserve">2. How We Use Your Information</w:t>
      </w:r>
    </w:p>
    <w:p>
      <w:pPr>
        <w:spacing w:after="120"/>
      </w:pPr>
      <w:r>
        <w:t xml:space="preserve">We use your information to:</w:t>
      </w:r>
    </w:p>
    <w:p>
      <w:pPr>
        <w:pStyle w:val="ListParagraph"/>
        <w:numPr>
          <w:ilvl w:val="0"/>
          <w:numId w:val="3"/>
        </w:numPr>
        <w:spacing w:after="80"/>
      </w:pPr>
      <w:r>
        <w:t xml:space="preserve">Provide, maintain, and improve the Platform and its features</w:t>
      </w:r>
    </w:p>
    <w:p>
      <w:pPr>
        <w:pStyle w:val="ListParagraph"/>
        <w:numPr>
          <w:ilvl w:val="0"/>
          <w:numId w:val="3"/>
        </w:numPr>
        <w:spacing w:after="80"/>
      </w:pPr>
      <w:r>
        <w:t xml:space="preserve">Generate personalized venue recommendations and curated itineraries</w:t>
      </w:r>
    </w:p>
    <w:p>
      <w:pPr>
        <w:pStyle w:val="ListParagraph"/>
        <w:numPr>
          <w:ilvl w:val="0"/>
          <w:numId w:val="3"/>
        </w:numPr>
        <w:spacing w:after="80"/>
      </w:pPr>
      <w:r>
        <w:t xml:space="preserve">Train and improve our AI recommendation models</w:t>
      </w:r>
    </w:p>
    <w:p>
      <w:pPr>
        <w:pStyle w:val="ListParagraph"/>
        <w:numPr>
          <w:ilvl w:val="0"/>
          <w:numId w:val="3"/>
        </w:numPr>
        <w:spacing w:after="80"/>
      </w:pPr>
      <w:r>
        <w:t xml:space="preserve">Process transactions and send related information</w:t>
      </w:r>
    </w:p>
    <w:p>
      <w:pPr>
        <w:pStyle w:val="ListParagraph"/>
        <w:numPr>
          <w:ilvl w:val="0"/>
          <w:numId w:val="3"/>
        </w:numPr>
        <w:spacing w:after="80"/>
      </w:pPr>
      <w:r>
        <w:t xml:space="preserve">Send you technical notices, updates, security alerts, and administrative messages</w:t>
      </w:r>
    </w:p>
    <w:p>
      <w:pPr>
        <w:pStyle w:val="ListParagraph"/>
        <w:numPr>
          <w:ilvl w:val="0"/>
          <w:numId w:val="3"/>
        </w:numPr>
        <w:spacing w:after="80"/>
      </w:pPr>
      <w:r>
        <w:t xml:space="preserve">Respond to your comments, questions, and customer service requests</w:t>
      </w:r>
    </w:p>
    <w:p>
      <w:pPr>
        <w:pStyle w:val="ListParagraph"/>
        <w:numPr>
          <w:ilvl w:val="0"/>
          <w:numId w:val="3"/>
        </w:numPr>
        <w:spacing w:after="80"/>
      </w:pPr>
      <w:r>
        <w:t xml:space="preserve">Monitor and analyze trends, usage, and activities to improve user experience</w:t>
      </w:r>
    </w:p>
    <w:p>
      <w:pPr>
        <w:pStyle w:val="ListParagraph"/>
        <w:numPr>
          <w:ilvl w:val="0"/>
          <w:numId w:val="3"/>
        </w:numPr>
        <w:spacing w:after="80"/>
      </w:pPr>
      <w:r>
        <w:t xml:space="preserve">Detect, investigate, and prevent fraudulent or unauthorized activity</w:t>
      </w:r>
    </w:p>
    <w:p>
      <w:pPr>
        <w:pStyle w:val="ListParagraph"/>
        <w:numPr>
          <w:ilvl w:val="0"/>
          <w:numId w:val="3"/>
        </w:numPr>
        <w:spacing w:after="80"/>
      </w:pPr>
      <w:r>
        <w:t xml:space="preserve">Comply with legal obligations and enforce our Terms of Service</w:t>
      </w:r>
    </w:p>
    <w:p>
      <w:pPr>
        <w:pStyle w:val="Heading2"/>
      </w:pPr>
      <w:r>
        <w:t xml:space="preserve">3. Legal Bases for Processing (GDPR)</w:t>
      </w:r>
    </w:p>
    <w:p>
      <w:pPr>
        <w:pStyle w:val="ListParagraph"/>
        <w:numPr>
          <w:ilvl w:val="0"/>
          <w:numId w:val="2"/>
        </w:numPr>
        <w:spacing w:after="80"/>
      </w:pPr>
      <w:r>
        <w:t xml:space="preserve">Consent (Art. 6(1)(a)): profiling, taste learning, location tracking, marketing communications, special category data</w:t>
      </w:r>
    </w:p>
    <w:p>
      <w:pPr>
        <w:pStyle w:val="ListParagraph"/>
        <w:numPr>
          <w:ilvl w:val="0"/>
          <w:numId w:val="2"/>
        </w:numPr>
        <w:spacing w:after="80"/>
      </w:pPr>
      <w:r>
        <w:t xml:space="preserve">Contract performance (Art. 6(1)(b)): account management, service delivery, payment processing</w:t>
      </w:r>
    </w:p>
    <w:p>
      <w:pPr>
        <w:pStyle w:val="ListParagraph"/>
        <w:numPr>
          <w:ilvl w:val="0"/>
          <w:numId w:val="2"/>
        </w:numPr>
        <w:spacing w:after="80"/>
      </w:pPr>
      <w:r>
        <w:t xml:space="preserve">Legitimate interests (Art. 6(1)(f)): fraud prevention, security, service improvement, analytics</w:t>
      </w:r>
    </w:p>
    <w:p>
      <w:pPr>
        <w:pStyle w:val="ListParagraph"/>
        <w:numPr>
          <w:ilvl w:val="0"/>
          <w:numId w:val="2"/>
        </w:numPr>
        <w:spacing w:after="80"/>
      </w:pPr>
      <w:r>
        <w:t xml:space="preserve">Legal obligation (Art. 6(1)(c)): tax reporting, regulatory compliance, law enforcement requests</w:t>
      </w:r>
    </w:p>
    <w:p>
      <w:pPr>
        <w:pStyle w:val="Heading2"/>
      </w:pPr>
      <w:r>
        <w:t xml:space="preserve">4. Sharing &amp; Disclosure</w:t>
      </w:r>
    </w:p>
    <w:p>
      <w:pPr>
        <w:spacing w:after="120"/>
      </w:pPr>
      <w:r>
        <w:t xml:space="preserve">We do not sell your personal information. We may share your data with:</w:t>
      </w:r>
    </w:p>
    <w:p>
      <w:pPr>
        <w:pStyle w:val="ListParagraph"/>
        <w:numPr>
          <w:ilvl w:val="0"/>
          <w:numId w:val="2"/>
        </w:numPr>
        <w:spacing w:after="80"/>
      </w:pPr>
      <w:r>
        <w:t xml:space="preserve">Service providers: hosting, analytics, payment processing, customer support (under data processing agreements)</w:t>
      </w:r>
    </w:p>
    <w:p>
      <w:pPr>
        <w:pStyle w:val="ListParagraph"/>
        <w:numPr>
          <w:ilvl w:val="0"/>
          <w:numId w:val="2"/>
        </w:numPr>
        <w:spacing w:after="80"/>
      </w:pPr>
      <w:r>
        <w:t xml:space="preserve">Venue partners: anonymized or aggregated data only, unless you explicitly opt in to share your profile with a specific venue</w:t>
      </w:r>
    </w:p>
    <w:p>
      <w:pPr>
        <w:pStyle w:val="ListParagraph"/>
        <w:numPr>
          <w:ilvl w:val="0"/>
          <w:numId w:val="2"/>
        </w:numPr>
        <w:spacing w:after="80"/>
      </w:pPr>
      <w:r>
        <w:t xml:space="preserve">Legal requirements: when required by law, subpoena, or court order</w:t>
      </w:r>
    </w:p>
    <w:p>
      <w:pPr>
        <w:pStyle w:val="ListParagraph"/>
        <w:numPr>
          <w:ilvl w:val="0"/>
          <w:numId w:val="2"/>
        </w:numPr>
        <w:spacing w:after="80"/>
      </w:pPr>
      <w:r>
        <w:t xml:space="preserve">Business transfers: in connection with a merger, acquisition, or sale of assets</w:t>
      </w:r>
    </w:p>
    <w:p>
      <w:pPr>
        <w:pStyle w:val="ListParagraph"/>
        <w:numPr>
          <w:ilvl w:val="0"/>
          <w:numId w:val="2"/>
        </w:numPr>
        <w:spacing w:after="80"/>
      </w:pPr>
      <w:r>
        <w:t xml:space="preserve">With your consent: when you direct us to share information with third parties</w:t>
      </w:r>
    </w:p>
    <w:p>
      <w:pPr>
        <w:pStyle w:val="Heading2"/>
      </w:pPr>
      <w:r>
        <w:t xml:space="preserve">5. Cookies &amp; Tracking Technologies</w:t>
      </w:r>
    </w:p>
    <w:p>
      <w:pPr>
        <w:spacing w:after="120"/>
      </w:pPr>
      <w:r>
        <w:t xml:space="preserve">We use cookies, pixels, and similar technologies as described in our separate Cookie &amp; Tracking Consent Policy. Essential cookies are required for Platform functionality; analytics and marketing cookies require your consent.</w:t>
      </w:r>
    </w:p>
    <w:p>
      <w:pPr>
        <w:pStyle w:val="Heading2"/>
      </w:pPr>
      <w:r>
        <w:t xml:space="preserve">6. Data Retention</w:t>
      </w:r>
    </w:p>
    <w:p>
      <w:pPr>
        <w:spacing w:after="120"/>
      </w:pPr>
      <w:r>
        <w:t xml:space="preserve">We retain your personal data for as long as your account is active or as needed to provide you services. After account deletion:</w:t>
      </w:r>
    </w:p>
    <w:p>
      <w:pPr>
        <w:pStyle w:val="ListParagraph"/>
        <w:numPr>
          <w:ilvl w:val="0"/>
          <w:numId w:val="2"/>
        </w:numPr>
        <w:spacing w:after="80"/>
      </w:pPr>
      <w:r>
        <w:t xml:space="preserve">Core profile data: deleted within 30 days</w:t>
      </w:r>
    </w:p>
    <w:p>
      <w:pPr>
        <w:pStyle w:val="ListParagraph"/>
        <w:numPr>
          <w:ilvl w:val="0"/>
          <w:numId w:val="2"/>
        </w:numPr>
        <w:spacing w:after="80"/>
      </w:pPr>
      <w:r>
        <w:t xml:space="preserve">AI-derived taste data: anonymized or deleted within 30 days</w:t>
      </w:r>
    </w:p>
    <w:p>
      <w:pPr>
        <w:pStyle w:val="ListParagraph"/>
        <w:numPr>
          <w:ilvl w:val="0"/>
          <w:numId w:val="2"/>
        </w:numPr>
        <w:spacing w:after="80"/>
      </w:pPr>
      <w:r>
        <w:t xml:space="preserve">Transaction records: retained for 7 years for tax/legal compliance</w:t>
      </w:r>
    </w:p>
    <w:p>
      <w:pPr>
        <w:pStyle w:val="ListParagraph"/>
        <w:numPr>
          <w:ilvl w:val="0"/>
          <w:numId w:val="2"/>
        </w:numPr>
        <w:spacing w:after="80"/>
      </w:pPr>
      <w:r>
        <w:t xml:space="preserve">Anonymized analytics data: may be retained indefinitely</w:t>
      </w:r>
    </w:p>
    <w:p>
      <w:pPr>
        <w:pStyle w:val="ListParagraph"/>
        <w:numPr>
          <w:ilvl w:val="0"/>
          <w:numId w:val="2"/>
        </w:numPr>
        <w:spacing w:after="80"/>
      </w:pPr>
      <w:r>
        <w:t xml:space="preserve">Backup copies: purged within 90 days of deletion request</w:t>
      </w:r>
    </w:p>
    <w:p>
      <w:pPr>
        <w:pStyle w:val="Heading2"/>
      </w:pPr>
      <w:r>
        <w:t xml:space="preserve">7. Data Security</w:t>
      </w:r>
    </w:p>
    <w:p>
      <w:pPr>
        <w:spacing w:after="120"/>
      </w:pPr>
      <w:r>
        <w:t xml:space="preserve">We implement industry-standard security measures including:</w:t>
      </w:r>
    </w:p>
    <w:p>
      <w:pPr>
        <w:pStyle w:val="ListParagraph"/>
        <w:numPr>
          <w:ilvl w:val="0"/>
          <w:numId w:val="2"/>
        </w:numPr>
        <w:spacing w:after="80"/>
      </w:pPr>
      <w:r>
        <w:t xml:space="preserve">AES-256 encryption for data at rest</w:t>
      </w:r>
    </w:p>
    <w:p>
      <w:pPr>
        <w:pStyle w:val="ListParagraph"/>
        <w:numPr>
          <w:ilvl w:val="0"/>
          <w:numId w:val="2"/>
        </w:numPr>
        <w:spacing w:after="80"/>
      </w:pPr>
      <w:r>
        <w:t xml:space="preserve">TLS 1.3 encryption for data in transit</w:t>
      </w:r>
    </w:p>
    <w:p>
      <w:pPr>
        <w:pStyle w:val="ListParagraph"/>
        <w:numPr>
          <w:ilvl w:val="0"/>
          <w:numId w:val="2"/>
        </w:numPr>
        <w:spacing w:after="80"/>
      </w:pPr>
      <w:r>
        <w:t xml:space="preserve">Role-based access controls for internal data access</w:t>
      </w:r>
    </w:p>
    <w:p>
      <w:pPr>
        <w:pStyle w:val="ListParagraph"/>
        <w:numPr>
          <w:ilvl w:val="0"/>
          <w:numId w:val="2"/>
        </w:numPr>
        <w:spacing w:after="80"/>
      </w:pPr>
      <w:r>
        <w:t xml:space="preserve">Regular penetration testing and security audits</w:t>
      </w:r>
    </w:p>
    <w:p>
      <w:pPr>
        <w:pStyle w:val="ListParagraph"/>
        <w:numPr>
          <w:ilvl w:val="0"/>
          <w:numId w:val="2"/>
        </w:numPr>
        <w:spacing w:after="80"/>
      </w:pPr>
      <w:r>
        <w:t xml:space="preserve">Incident response procedures with 72-hour breach notification (GDPR Art. 33)</w:t>
      </w:r>
    </w:p>
    <w:p>
      <w:pPr>
        <w:pStyle w:val="Heading2"/>
      </w:pPr>
      <w:r>
        <w:t xml:space="preserve">8. International Data Transfers</w:t>
      </w:r>
    </w:p>
    <w:p>
      <w:pPr>
        <w:spacing w:after="120"/>
      </w:pPr>
      <w:r>
        <w:t xml:space="preserve">Your data may be transferred to and processed in the United States and other countries. For transfers from the EEA/UK, we rely on Standard Contractual Clauses (SCCs) approved by the European Commission, or other legally recognized transfer mechanisms.</w:t>
      </w:r>
    </w:p>
    <w:p>
      <w:pPr>
        <w:pStyle w:val="Heading2"/>
      </w:pPr>
      <w:r>
        <w:t xml:space="preserve">9. Your Rights</w:t>
      </w:r>
    </w:p>
    <w:p>
      <w:pPr>
        <w:pStyle w:val="Heading3"/>
      </w:pPr>
      <w:r>
        <w:t xml:space="preserve">9.1 All Users</w:t>
      </w:r>
    </w:p>
    <w:p>
      <w:pPr>
        <w:pStyle w:val="ListParagraph"/>
        <w:numPr>
          <w:ilvl w:val="0"/>
          <w:numId w:val="2"/>
        </w:numPr>
        <w:spacing w:after="80"/>
      </w:pPr>
      <w:r>
        <w:t xml:space="preserve">Access your personal data</w:t>
      </w:r>
    </w:p>
    <w:p>
      <w:pPr>
        <w:pStyle w:val="ListParagraph"/>
        <w:numPr>
          <w:ilvl w:val="0"/>
          <w:numId w:val="2"/>
        </w:numPr>
        <w:spacing w:after="80"/>
      </w:pPr>
      <w:r>
        <w:t xml:space="preserve">Correct inaccurate data</w:t>
      </w:r>
    </w:p>
    <w:p>
      <w:pPr>
        <w:pStyle w:val="ListParagraph"/>
        <w:numPr>
          <w:ilvl w:val="0"/>
          <w:numId w:val="2"/>
        </w:numPr>
        <w:spacing w:after="80"/>
      </w:pPr>
      <w:r>
        <w:t xml:space="preserve">Delete your account and associated data</w:t>
      </w:r>
    </w:p>
    <w:p>
      <w:pPr>
        <w:pStyle w:val="ListParagraph"/>
        <w:numPr>
          <w:ilvl w:val="0"/>
          <w:numId w:val="2"/>
        </w:numPr>
        <w:spacing w:after="80"/>
      </w:pPr>
      <w:r>
        <w:t xml:space="preserve">Opt out of marketing communications</w:t>
      </w:r>
    </w:p>
    <w:p>
      <w:pPr>
        <w:pStyle w:val="ListParagraph"/>
        <w:numPr>
          <w:ilvl w:val="0"/>
          <w:numId w:val="2"/>
        </w:numPr>
        <w:spacing w:after="80"/>
      </w:pPr>
      <w:r>
        <w:t xml:space="preserve">Export your data in a portable format</w:t>
      </w:r>
    </w:p>
    <w:p>
      <w:pPr>
        <w:pStyle w:val="Heading3"/>
      </w:pPr>
      <w:r>
        <w:t xml:space="preserve">9.2 EEA/UK Residents (GDPR)</w:t>
      </w:r>
    </w:p>
    <w:p>
      <w:pPr>
        <w:pStyle w:val="ListParagraph"/>
        <w:numPr>
          <w:ilvl w:val="0"/>
          <w:numId w:val="2"/>
        </w:numPr>
        <w:spacing w:after="80"/>
      </w:pPr>
      <w:r>
        <w:t xml:space="preserve">Right to restrict processing (Art. 18)</w:t>
      </w:r>
    </w:p>
    <w:p>
      <w:pPr>
        <w:pStyle w:val="ListParagraph"/>
        <w:numPr>
          <w:ilvl w:val="0"/>
          <w:numId w:val="2"/>
        </w:numPr>
        <w:spacing w:after="80"/>
      </w:pPr>
      <w:r>
        <w:t xml:space="preserve">Right to data portability (Art. 20)</w:t>
      </w:r>
    </w:p>
    <w:p>
      <w:pPr>
        <w:pStyle w:val="ListParagraph"/>
        <w:numPr>
          <w:ilvl w:val="0"/>
          <w:numId w:val="2"/>
        </w:numPr>
        <w:spacing w:after="80"/>
      </w:pPr>
      <w:r>
        <w:t xml:space="preserve">Right to object to profiling and automated decision-making (Art. 21/22)</w:t>
      </w:r>
    </w:p>
    <w:p>
      <w:pPr>
        <w:pStyle w:val="ListParagraph"/>
        <w:numPr>
          <w:ilvl w:val="0"/>
          <w:numId w:val="2"/>
        </w:numPr>
        <w:spacing w:after="80"/>
      </w:pPr>
      <w:r>
        <w:t xml:space="preserve">Right to withdraw consent at any time (Art. 7)</w:t>
      </w:r>
    </w:p>
    <w:p>
      <w:pPr>
        <w:pStyle w:val="ListParagraph"/>
        <w:numPr>
          <w:ilvl w:val="0"/>
          <w:numId w:val="2"/>
        </w:numPr>
        <w:spacing w:after="80"/>
      </w:pPr>
      <w:r>
        <w:t xml:space="preserve">Right to lodge a complaint with a supervisory authority</w:t>
      </w:r>
    </w:p>
    <w:p>
      <w:pPr>
        <w:pStyle w:val="Heading3"/>
      </w:pPr>
      <w:r>
        <w:t xml:space="preserve">9.3 California Residents (CCPA/CPRA)</w:t>
      </w:r>
    </w:p>
    <w:p>
      <w:pPr>
        <w:pStyle w:val="ListParagraph"/>
        <w:numPr>
          <w:ilvl w:val="0"/>
          <w:numId w:val="2"/>
        </w:numPr>
        <w:spacing w:after="80"/>
      </w:pPr>
      <w:r>
        <w:t xml:space="preserve">Right to know what personal information is collected and how it is used</w:t>
      </w:r>
    </w:p>
    <w:p>
      <w:pPr>
        <w:pStyle w:val="ListParagraph"/>
        <w:numPr>
          <w:ilvl w:val="0"/>
          <w:numId w:val="2"/>
        </w:numPr>
        <w:spacing w:after="80"/>
      </w:pPr>
      <w:r>
        <w:t xml:space="preserve">Right to delete personal information</w:t>
      </w:r>
    </w:p>
    <w:p>
      <w:pPr>
        <w:pStyle w:val="ListParagraph"/>
        <w:numPr>
          <w:ilvl w:val="0"/>
          <w:numId w:val="2"/>
        </w:numPr>
        <w:spacing w:after="80"/>
      </w:pPr>
      <w:r>
        <w:t xml:space="preserve">Right to opt out of the sale or sharing of personal information (we do not sell data)</w:t>
      </w:r>
    </w:p>
    <w:p>
      <w:pPr>
        <w:pStyle w:val="ListParagraph"/>
        <w:numPr>
          <w:ilvl w:val="0"/>
          <w:numId w:val="2"/>
        </w:numPr>
        <w:spacing w:after="80"/>
      </w:pPr>
      <w:r>
        <w:t xml:space="preserve">Right to non-discrimination for exercising privacy rights</w:t>
      </w:r>
    </w:p>
    <w:p>
      <w:pPr>
        <w:pStyle w:val="ListParagraph"/>
        <w:numPr>
          <w:ilvl w:val="0"/>
          <w:numId w:val="2"/>
        </w:numPr>
        <w:spacing w:after="80"/>
      </w:pPr>
      <w:r>
        <w:t xml:space="preserve">Right to correct inaccurate personal information</w:t>
      </w:r>
    </w:p>
    <w:p>
      <w:pPr>
        <w:pStyle w:val="ListParagraph"/>
        <w:numPr>
          <w:ilvl w:val="0"/>
          <w:numId w:val="2"/>
        </w:numPr>
        <w:spacing w:after="80"/>
      </w:pPr>
      <w:r>
        <w:t xml:space="preserve">Right to limit use of sensitive personal information</w:t>
      </w:r>
    </w:p>
    <w:p>
      <w:pPr>
        <w:pStyle w:val="Heading2"/>
      </w:pPr>
      <w:r>
        <w:t xml:space="preserve">10. Children's Privacy</w:t>
      </w:r>
    </w:p>
    <w:p>
      <w:pPr>
        <w:spacing w:after="120"/>
      </w:pPr>
      <w:r>
        <w:t xml:space="preserve">The Platform is not directed to individuals under 18 (or 21 in alcohol-related contexts). We do not knowingly collect personal information from minors. If we become aware that we have collected data from a minor, we will promptly delete it.</w:t>
      </w:r>
    </w:p>
    <w:p>
      <w:pPr>
        <w:pStyle w:val="Heading2"/>
      </w:pPr>
      <w:r>
        <w:t xml:space="preserve">11. Automated Decision-Making</w:t>
      </w:r>
    </w:p>
    <w:p>
      <w:pPr>
        <w:spacing w:after="120"/>
      </w:pPr>
      <w:r>
        <w:t xml:space="preserve">Our AI agents make automated decisions about which venues and experiences to recommend to you. These decisions are based on your Taste Graph and behavioral patterns. You have the right to:</w:t>
      </w:r>
    </w:p>
    <w:p>
      <w:pPr>
        <w:pStyle w:val="ListParagraph"/>
        <w:numPr>
          <w:ilvl w:val="0"/>
          <w:numId w:val="2"/>
        </w:numPr>
        <w:spacing w:after="80"/>
      </w:pPr>
      <w:r>
        <w:t xml:space="preserve">Request human review of any automated recommendation</w:t>
      </w:r>
    </w:p>
    <w:p>
      <w:pPr>
        <w:pStyle w:val="ListParagraph"/>
        <w:numPr>
          <w:ilvl w:val="0"/>
          <w:numId w:val="2"/>
        </w:numPr>
        <w:spacing w:after="80"/>
      </w:pPr>
      <w:r>
        <w:t xml:space="preserve">Obtain an explanation of how our AI reached a particular recommendation</w:t>
      </w:r>
    </w:p>
    <w:p>
      <w:pPr>
        <w:pStyle w:val="ListParagraph"/>
        <w:numPr>
          <w:ilvl w:val="0"/>
          <w:numId w:val="2"/>
        </w:numPr>
        <w:spacing w:after="80"/>
      </w:pPr>
      <w:r>
        <w:t xml:space="preserve">Object to automated profiling, at which point we will cease profiling (though this may reduce personalization quality)</w:t>
      </w:r>
    </w:p>
    <w:p>
      <w:pPr>
        <w:pStyle w:val="ListParagraph"/>
        <w:numPr>
          <w:ilvl w:val="0"/>
          <w:numId w:val="2"/>
        </w:numPr>
        <w:spacing w:after="80"/>
      </w:pPr>
      <w:r>
        <w:t xml:space="preserve">Reset your Taste Graph at any time through Settings &gt; Privacy &gt; Reset AI Preferences</w:t>
      </w:r>
    </w:p>
    <w:p>
      <w:pPr>
        <w:pStyle w:val="Heading2"/>
      </w:pPr>
      <w:r>
        <w:t xml:space="preserve">12. Do Not Track</w:t>
      </w:r>
    </w:p>
    <w:p>
      <w:pPr>
        <w:spacing w:after="120"/>
      </w:pPr>
      <w:r>
        <w:t xml:space="preserve">We honor Do Not Track (DNT) browser signals. When we detect a DNT signal, we disable non-essential tracking cookies and limit data collection to what is necessary for Platform functionality.</w:t>
      </w:r>
    </w:p>
    <w:p>
      <w:pPr>
        <w:pStyle w:val="Heading2"/>
      </w:pPr>
      <w:r>
        <w:t xml:space="preserve">13. Changes to This Policy</w:t>
      </w:r>
    </w:p>
    <w:p>
      <w:pPr>
        <w:spacing w:after="120"/>
      </w:pPr>
      <w:r>
        <w:t xml:space="preserve">We may update this Privacy Policy from time to time. Material changes will be communicated via in-app notification or email at least thirty (30) days prior to taking effect. The "Last Updated" date at the top of this policy indicates when the latest changes were made.</w:t>
      </w:r>
    </w:p>
    <w:p>
      <w:pPr>
        <w:pStyle w:val="Heading2"/>
      </w:pPr>
      <w:r>
        <w:t xml:space="preserve">14. Contact Us</w:t>
      </w:r>
    </w:p>
    <w:p>
      <w:pPr>
        <w:spacing w:after="120"/>
      </w:pPr>
      <w:r>
        <w:t xml:space="preserve">For privacy inquiries or to exercise your rights:</w:t>
      </w:r>
    </w:p>
    <w:p>
      <w:pPr>
        <w:spacing w:after="120"/>
      </w:pPr>
      <w:r>
        <w:t xml:space="preserve">Confetti App, LLC</w:t>
      </w:r>
    </w:p>
    <w:p>
      <w:pPr>
        <w:spacing w:after="120"/>
      </w:pPr>
      <w:r>
        <w:t xml:space="preserve">Privacy Officer: privacy@confetti.app</w:t>
      </w:r>
    </w:p>
    <w:p>
      <w:pPr>
        <w:spacing w:after="120"/>
      </w:pPr>
      <w:r>
        <w:t xml:space="preserve">Data Protection Officer (EEA/UK): dpo@confetti.app</w:t>
      </w:r>
    </w:p>
    <w:p>
      <w:pPr>
        <w:spacing w:after="120"/>
      </w:pPr>
      <w:r>
        <w:t xml:space="preserve">Washington, DC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Confetti App, LLC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Confetti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2026-05-20T00:13:21.278Z</dcterms:created>
  <dcterms:modified xsi:type="dcterms:W3CDTF">2026-05-20T00:13:21.278Z</dcterms:modified>
</cp:coreProperties>
</file>

<file path=docProps/custom.xml><?xml version="1.0" encoding="utf-8"?>
<Properties xmlns="http://schemas.openxmlformats.org/officeDocument/2006/custom-properties" xmlns:vt="http://schemas.openxmlformats.org/officeDocument/2006/docPropsVTypes"/>
</file>