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Venue Data Processing Agreement</w:t>
      </w:r>
    </w:p>
    <w:p>
      <w:pPr>
        <w:spacing w:after="200"/>
      </w:pPr>
      <w:r>
        <w:rPr>
          <w:b/>
          <w:bCs/>
        </w:rPr>
        <w:t xml:space="preserve">Effective Date: May 19, 2026</w:t>
      </w:r>
    </w:p>
    <w:p>
      <w:pPr>
        <w:spacing w:after="200"/>
      </w:pPr>
      <w:r>
        <w:t xml:space="preserve">This Data Processing Agreement ("DPA") is entered into between Confetti App, LLC ("Confetti," "Controller") and the Venue identified in the associated Venue Partnership Agreement ("Processor," "Venue"). This DPA is incorporated into and forms part of the Venue Partnership Agreement.</w:t>
      </w:r>
    </w:p>
    <w:p>
      <w:pPr>
        <w:pStyle w:val="Heading2"/>
      </w:pPr>
      <w:r>
        <w:t xml:space="preserve">1. Definitions</w:t>
      </w:r>
    </w:p>
    <w:p>
      <w:pPr>
        <w:pStyle w:val="ListParagraph"/>
        <w:numPr>
          <w:ilvl w:val="0"/>
          <w:numId w:val="2"/>
        </w:numPr>
        <w:spacing w:after="120"/>
      </w:pPr>
      <w:r>
        <w:t xml:space="preserve">"Personal Data" means any information relating to an identified or identifiable natural person processed in connection with the Venue Partnership Agreement.</w:t>
      </w:r>
    </w:p>
    <w:p>
      <w:pPr>
        <w:pStyle w:val="ListParagraph"/>
        <w:numPr>
          <w:ilvl w:val="0"/>
          <w:numId w:val="2"/>
        </w:numPr>
        <w:spacing w:after="120"/>
      </w:pPr>
      <w:r>
        <w:t xml:space="preserve">"Processing" means any operation performed on Personal Data, including collection, recording, organization, structuring, storage, adaptation, retrieval, consultation, use, disclosure, dissemination, alignment, combination, restriction, erasure, or destruction.</w:t>
      </w:r>
    </w:p>
    <w:p>
      <w:pPr>
        <w:pStyle w:val="ListParagraph"/>
        <w:numPr>
          <w:ilvl w:val="0"/>
          <w:numId w:val="2"/>
        </w:numPr>
        <w:spacing w:after="120"/>
      </w:pPr>
      <w:r>
        <w:t xml:space="preserve">"Data Subject" means the identified or identifiable natural person to whom Personal Data relates.</w:t>
      </w:r>
    </w:p>
    <w:p>
      <w:pPr>
        <w:pStyle w:val="ListParagraph"/>
        <w:numPr>
          <w:ilvl w:val="0"/>
          <w:numId w:val="2"/>
        </w:numPr>
        <w:spacing w:after="120"/>
      </w:pPr>
      <w:r>
        <w:t xml:space="preserve">"Applicable Data Protection Laws" means GDPR (EU 2016/679), CCPA (Cal. Civ. Code 1798.100 et seq.), and any other applicable data protection legislation.</w:t>
      </w:r>
    </w:p>
    <w:p>
      <w:pPr>
        <w:pStyle w:val="ListParagraph"/>
        <w:numPr>
          <w:ilvl w:val="0"/>
          <w:numId w:val="2"/>
        </w:numPr>
        <w:spacing w:after="120"/>
      </w:pPr>
      <w:r>
        <w:t xml:space="preserve">"Sub-processor" means any third party engaged by Venue to process Personal Data on behalf of Confetti.</w:t>
      </w:r>
    </w:p>
    <w:p>
      <w:pPr>
        <w:pStyle w:val="Heading2"/>
      </w:pPr>
      <w:r>
        <w:t xml:space="preserve">2. Scope and Purpose of Processing</w:t>
      </w:r>
    </w:p>
    <w:p>
      <w:pPr>
        <w:pStyle w:val="Heading3"/>
      </w:pPr>
      <w:r>
        <w:t xml:space="preserve">2.1 Categories of Data Subjects</w:t>
      </w:r>
    </w:p>
    <w:p>
      <w:pPr>
        <w:pStyle w:val="ListParagraph"/>
        <w:numPr>
          <w:ilvl w:val="0"/>
          <w:numId w:val="2"/>
        </w:numPr>
        <w:spacing w:after="120"/>
      </w:pPr>
      <w:r>
        <w:t xml:space="preserve">Confetti platform users who are referred to or interact with Venue</w:t>
      </w:r>
    </w:p>
    <w:p>
      <w:pPr>
        <w:pStyle w:val="ListParagraph"/>
        <w:numPr>
          <w:ilvl w:val="0"/>
          <w:numId w:val="2"/>
        </w:numPr>
        <w:spacing w:after="120"/>
      </w:pPr>
      <w:r>
        <w:t xml:space="preserve">Venue staff who access the Partner Dashboard</w:t>
      </w:r>
    </w:p>
    <w:p>
      <w:pPr>
        <w:pStyle w:val="Heading3"/>
      </w:pPr>
      <w:r>
        <w:t xml:space="preserve">2.2 Types of Personal Data</w:t>
      </w:r>
    </w:p>
    <w:p>
      <w:pPr>
        <w:pStyle w:val="ListParagraph"/>
        <w:numPr>
          <w:ilvl w:val="0"/>
          <w:numId w:val="2"/>
        </w:numPr>
        <w:spacing w:after="120"/>
      </w:pPr>
      <w:r>
        <w:t xml:space="preserve">Reservation details (date, time, party size)</w:t>
      </w:r>
    </w:p>
    <w:p>
      <w:pPr>
        <w:pStyle w:val="ListParagraph"/>
        <w:numPr>
          <w:ilvl w:val="0"/>
          <w:numId w:val="2"/>
        </w:numPr>
        <w:spacing w:after="120"/>
      </w:pPr>
      <w:r>
        <w:t xml:space="preserve">Referral identifiers (anonymized user tokens, not real names or contact info)</w:t>
      </w:r>
    </w:p>
    <w:p>
      <w:pPr>
        <w:pStyle w:val="ListParagraph"/>
        <w:numPr>
          <w:ilvl w:val="0"/>
          <w:numId w:val="2"/>
        </w:numPr>
        <w:spacing w:after="120"/>
      </w:pPr>
      <w:r>
        <w:t xml:space="preserve">Transaction data (amount, items ordered, payment confirmation)</w:t>
      </w:r>
    </w:p>
    <w:p>
      <w:pPr>
        <w:pStyle w:val="ListParagraph"/>
        <w:numPr>
          <w:ilvl w:val="0"/>
          <w:numId w:val="2"/>
        </w:numPr>
        <w:spacing w:after="120"/>
      </w:pPr>
      <w:r>
        <w:t xml:space="preserve">Feedback and ratings submitted through the Confetti platform</w:t>
      </w:r>
    </w:p>
    <w:p>
      <w:pPr>
        <w:pStyle w:val="ListParagraph"/>
        <w:numPr>
          <w:ilvl w:val="0"/>
          <w:numId w:val="2"/>
        </w:numPr>
        <w:spacing w:after="120"/>
      </w:pPr>
      <w:r>
        <w:t xml:space="preserve">Partner Dashboard access credentials and activity logs</w:t>
      </w:r>
    </w:p>
    <w:p>
      <w:pPr>
        <w:pStyle w:val="Heading3"/>
      </w:pPr>
      <w:r>
        <w:t xml:space="preserve">2.3 Purpose Limitation</w:t>
      </w:r>
    </w:p>
    <w:p>
      <w:pPr>
        <w:spacing w:after="200"/>
      </w:pPr>
      <w:r>
        <w:t xml:space="preserve">Venue shall process Personal Data solely for:</w:t>
      </w:r>
    </w:p>
    <w:p>
      <w:pPr>
        <w:pStyle w:val="ListParagraph"/>
        <w:numPr>
          <w:ilvl w:val="0"/>
          <w:numId w:val="2"/>
        </w:numPr>
        <w:spacing w:after="120"/>
      </w:pPr>
      <w:r>
        <w:t xml:space="preserve">Fulfilling reservations and services for Confetti-referred guests</w:t>
      </w:r>
    </w:p>
    <w:p>
      <w:pPr>
        <w:pStyle w:val="ListParagraph"/>
        <w:numPr>
          <w:ilvl w:val="0"/>
          <w:numId w:val="2"/>
        </w:numPr>
        <w:spacing w:after="120"/>
      </w:pPr>
      <w:r>
        <w:t xml:space="preserve">Generating and reconciling commission reports</w:t>
      </w:r>
    </w:p>
    <w:p>
      <w:pPr>
        <w:pStyle w:val="ListParagraph"/>
        <w:numPr>
          <w:ilvl w:val="0"/>
          <w:numId w:val="2"/>
        </w:numPr>
        <w:spacing w:after="120"/>
      </w:pPr>
      <w:r>
        <w:t xml:space="preserve">Accessing analytics through the Partner Dashboard</w:t>
      </w:r>
    </w:p>
    <w:p>
      <w:pPr>
        <w:pStyle w:val="ListParagraph"/>
        <w:numPr>
          <w:ilvl w:val="0"/>
          <w:numId w:val="2"/>
        </w:numPr>
        <w:spacing w:after="120"/>
      </w:pPr>
      <w:r>
        <w:t xml:space="preserve">Responding to customer service inquiries related to Confetti referrals</w:t>
      </w:r>
    </w:p>
    <w:p>
      <w:pPr>
        <w:spacing w:after="200"/>
      </w:pPr>
      <w:r>
        <w:t xml:space="preserve">Venue shall NOT use Personal Data for direct marketing, profiling, sale to third parties, or any purpose beyond those specified above.</w:t>
      </w:r>
    </w:p>
    <w:p>
      <w:pPr>
        <w:pStyle w:val="Heading2"/>
      </w:pPr>
      <w:r>
        <w:t xml:space="preserve">3. Obligations of the Venue (Processor)</w:t>
      </w:r>
    </w:p>
    <w:p>
      <w:pPr>
        <w:pStyle w:val="Heading3"/>
      </w:pPr>
      <w:r>
        <w:t xml:space="preserve">3.1 Processing Instructions</w:t>
      </w:r>
    </w:p>
    <w:p>
      <w:pPr>
        <w:spacing w:after="200"/>
      </w:pPr>
      <w:r>
        <w:t xml:space="preserve">Venue shall process Personal Data only on documented instructions from Confetti, unless required to do so by applicable law. If Venue believes an instruction infringes Applicable Data Protection Laws, it shall promptly notify Confetti.</w:t>
      </w:r>
    </w:p>
    <w:p>
      <w:pPr>
        <w:pStyle w:val="Heading3"/>
      </w:pPr>
      <w:r>
        <w:t xml:space="preserve">3.2 Confidentiality</w:t>
      </w:r>
    </w:p>
    <w:p>
      <w:pPr>
        <w:spacing w:after="200"/>
      </w:pPr>
      <w:r>
        <w:t xml:space="preserve">Venue shall ensure that persons authorized to process Personal Data have committed themselves to confidentiality or are under an appropriate statutory obligation of confidentiality.</w:t>
      </w:r>
    </w:p>
    <w:p>
      <w:pPr>
        <w:pStyle w:val="Heading3"/>
      </w:pPr>
      <w:r>
        <w:t xml:space="preserve">3.3 Security Measures</w:t>
      </w:r>
    </w:p>
    <w:p>
      <w:pPr>
        <w:spacing w:after="200"/>
      </w:pPr>
      <w:r>
        <w:t xml:space="preserve">Venue shall implement appropriate technical and organizational measures to ensure a level of security appropriate to the risk, including:</w:t>
      </w:r>
    </w:p>
    <w:p>
      <w:pPr>
        <w:pStyle w:val="ListParagraph"/>
        <w:numPr>
          <w:ilvl w:val="0"/>
          <w:numId w:val="2"/>
        </w:numPr>
        <w:spacing w:after="120"/>
      </w:pPr>
      <w:r>
        <w:t xml:space="preserve">Encryption of Personal Data in transit and at rest</w:t>
      </w:r>
    </w:p>
    <w:p>
      <w:pPr>
        <w:pStyle w:val="ListParagraph"/>
        <w:numPr>
          <w:ilvl w:val="0"/>
          <w:numId w:val="2"/>
        </w:numPr>
        <w:spacing w:after="120"/>
      </w:pPr>
      <w:r>
        <w:t xml:space="preserve">Access controls limiting Personal Data access to authorized personnel</w:t>
      </w:r>
    </w:p>
    <w:p>
      <w:pPr>
        <w:pStyle w:val="ListParagraph"/>
        <w:numPr>
          <w:ilvl w:val="0"/>
          <w:numId w:val="2"/>
        </w:numPr>
        <w:spacing w:after="120"/>
      </w:pPr>
      <w:r>
        <w:t xml:space="preserve">Regular security assessments and vulnerability testing</w:t>
      </w:r>
    </w:p>
    <w:p>
      <w:pPr>
        <w:pStyle w:val="ListParagraph"/>
        <w:numPr>
          <w:ilvl w:val="0"/>
          <w:numId w:val="2"/>
        </w:numPr>
        <w:spacing w:after="120"/>
      </w:pPr>
      <w:r>
        <w:t xml:space="preserve">Incident response procedures with defined escalation paths</w:t>
      </w:r>
    </w:p>
    <w:p>
      <w:pPr>
        <w:pStyle w:val="ListParagraph"/>
        <w:numPr>
          <w:ilvl w:val="0"/>
          <w:numId w:val="2"/>
        </w:numPr>
        <w:spacing w:after="120"/>
      </w:pPr>
      <w:r>
        <w:t xml:space="preserve">Secure disposal of Personal Data when no longer needed</w:t>
      </w:r>
    </w:p>
    <w:p>
      <w:pPr>
        <w:pStyle w:val="Heading3"/>
      </w:pPr>
      <w:r>
        <w:t xml:space="preserve">3.4 Sub-processors</w:t>
      </w:r>
    </w:p>
    <w:p>
      <w:pPr>
        <w:spacing w:after="200"/>
      </w:pPr>
      <w:r>
        <w:t xml:space="preserve">Venue shall not engage any Sub-processor without prior written consent from Confetti. Venue shall impose data protection obligations on Sub-processors that are no less protective than those in this DPA. Venue remains fully liable for the acts and omissions of its Sub-processors.</w:t>
      </w:r>
    </w:p>
    <w:p>
      <w:pPr>
        <w:pStyle w:val="Heading3"/>
      </w:pPr>
      <w:r>
        <w:t xml:space="preserve">3.5 Data Subject Rights</w:t>
      </w:r>
    </w:p>
    <w:p>
      <w:pPr>
        <w:spacing w:after="200"/>
      </w:pPr>
      <w:r>
        <w:t xml:space="preserve">Venue shall assist Confetti in responding to Data Subject requests to exercise their rights under Applicable Data Protection Laws, including rights of access, rectification, erasure, portability, restriction, and objection. Venue shall respond to Confetti's assistance requests within 5 business days.</w:t>
      </w:r>
    </w:p>
    <w:p>
      <w:pPr>
        <w:pStyle w:val="Heading2"/>
      </w:pPr>
      <w:r>
        <w:t xml:space="preserve">4. Obligations of Confetti (Controller)</w:t>
      </w:r>
    </w:p>
    <w:p>
      <w:pPr>
        <w:pStyle w:val="ListParagraph"/>
        <w:numPr>
          <w:ilvl w:val="0"/>
          <w:numId w:val="2"/>
        </w:numPr>
        <w:spacing w:after="120"/>
      </w:pPr>
      <w:r>
        <w:t xml:space="preserve">Provide clear, documented processing instructions to Venue</w:t>
      </w:r>
    </w:p>
    <w:p>
      <w:pPr>
        <w:pStyle w:val="ListParagraph"/>
        <w:numPr>
          <w:ilvl w:val="0"/>
          <w:numId w:val="2"/>
        </w:numPr>
        <w:spacing w:after="120"/>
      </w:pPr>
      <w:r>
        <w:t xml:space="preserve">Ensure lawful basis exists for the processing of Personal Data</w:t>
      </w:r>
    </w:p>
    <w:p>
      <w:pPr>
        <w:pStyle w:val="ListParagraph"/>
        <w:numPr>
          <w:ilvl w:val="0"/>
          <w:numId w:val="2"/>
        </w:numPr>
        <w:spacing w:after="120"/>
      </w:pPr>
      <w:r>
        <w:t xml:space="preserve">Respond to Data Subject rights requests within statutory timeframes</w:t>
      </w:r>
    </w:p>
    <w:p>
      <w:pPr>
        <w:pStyle w:val="ListParagraph"/>
        <w:numPr>
          <w:ilvl w:val="0"/>
          <w:numId w:val="2"/>
        </w:numPr>
        <w:spacing w:after="120"/>
      </w:pPr>
      <w:r>
        <w:t xml:space="preserve">Conduct data protection impact assessments where required</w:t>
      </w:r>
    </w:p>
    <w:p>
      <w:pPr>
        <w:pStyle w:val="ListParagraph"/>
        <w:numPr>
          <w:ilvl w:val="0"/>
          <w:numId w:val="2"/>
        </w:numPr>
        <w:spacing w:after="120"/>
      </w:pPr>
      <w:r>
        <w:t xml:space="preserve">Notify Venue of any changes to processing instructions</w:t>
      </w:r>
    </w:p>
    <w:p>
      <w:pPr>
        <w:pStyle w:val="Heading2"/>
      </w:pPr>
      <w:r>
        <w:t xml:space="preserve">5. Data Breach Notification</w:t>
      </w:r>
    </w:p>
    <w:p>
      <w:pPr>
        <w:pStyle w:val="Heading3"/>
      </w:pPr>
      <w:r>
        <w:t xml:space="preserve">5.1 Venue Obligations</w:t>
      </w:r>
    </w:p>
    <w:p>
      <w:pPr>
        <w:spacing w:after="200"/>
      </w:pPr>
      <w:r>
        <w:t xml:space="preserve">Venue shall notify Confetti without undue delay, and in any event within 24 hours, upon becoming aware of a Personal Data breach. The notification shall include:</w:t>
      </w:r>
    </w:p>
    <w:p>
      <w:pPr>
        <w:pStyle w:val="ListParagraph"/>
        <w:numPr>
          <w:ilvl w:val="0"/>
          <w:numId w:val="2"/>
        </w:numPr>
        <w:spacing w:after="120"/>
      </w:pPr>
      <w:r>
        <w:t xml:space="preserve">Nature of the breach, including categories and approximate number of Data Subjects affected</w:t>
      </w:r>
    </w:p>
    <w:p>
      <w:pPr>
        <w:pStyle w:val="ListParagraph"/>
        <w:numPr>
          <w:ilvl w:val="0"/>
          <w:numId w:val="2"/>
        </w:numPr>
        <w:spacing w:after="120"/>
      </w:pPr>
      <w:r>
        <w:t xml:space="preserve">Name and contact details of Venue's data protection contact</w:t>
      </w:r>
    </w:p>
    <w:p>
      <w:pPr>
        <w:pStyle w:val="ListParagraph"/>
        <w:numPr>
          <w:ilvl w:val="0"/>
          <w:numId w:val="2"/>
        </w:numPr>
        <w:spacing w:after="120"/>
      </w:pPr>
      <w:r>
        <w:t xml:space="preserve">Description of likely consequences of the breach</w:t>
      </w:r>
    </w:p>
    <w:p>
      <w:pPr>
        <w:pStyle w:val="ListParagraph"/>
        <w:numPr>
          <w:ilvl w:val="0"/>
          <w:numId w:val="2"/>
        </w:numPr>
        <w:spacing w:after="120"/>
      </w:pPr>
      <w:r>
        <w:t xml:space="preserve">Description of measures taken or proposed to address the breach</w:t>
      </w:r>
    </w:p>
    <w:p>
      <w:pPr>
        <w:pStyle w:val="Heading3"/>
      </w:pPr>
      <w:r>
        <w:t xml:space="preserve">5.2 Cooperation</w:t>
      </w:r>
    </w:p>
    <w:p>
      <w:pPr>
        <w:spacing w:after="200"/>
      </w:pPr>
      <w:r>
        <w:t xml:space="preserve">Venue shall cooperate with Confetti in investigating, remediating, and mitigating the breach, and in meeting notification obligations to supervisory authorities and Data Subjects.</w:t>
      </w:r>
    </w:p>
    <w:p>
      <w:pPr>
        <w:pStyle w:val="Heading2"/>
      </w:pPr>
      <w:r>
        <w:t xml:space="preserve">6. Data Transfers</w:t>
      </w:r>
    </w:p>
    <w:p>
      <w:pPr>
        <w:spacing w:after="200"/>
      </w:pPr>
      <w:r>
        <w:t xml:space="preserve">Venue shall not transfer Personal Data outside of the United States or European Economic Area without prior written consent from Confetti and appropriate safeguards (e.g., Standard Contractual Clauses, adequacy decisions, or binding corporate rules).</w:t>
      </w:r>
    </w:p>
    <w:p>
      <w:pPr>
        <w:pStyle w:val="Heading2"/>
      </w:pPr>
      <w:r>
        <w:t xml:space="preserve">7. Audit Rights</w:t>
      </w:r>
    </w:p>
    <w:p>
      <w:pPr>
        <w:spacing w:after="200"/>
      </w:pPr>
      <w:r>
        <w:t xml:space="preserve">Confetti may audit Venue's compliance with this DPA upon 30 days' written notice, no more than once per year (unless a breach is suspected). Venue shall cooperate and provide access to relevant records, systems, and personnel. Audit costs are borne by Confetti unless the audit reveals material non-compliance, in which case Venue bears the costs.</w:t>
      </w:r>
    </w:p>
    <w:p>
      <w:pPr>
        <w:pStyle w:val="Heading2"/>
      </w:pPr>
      <w:r>
        <w:t xml:space="preserve">8. Data Retention and Deletion</w:t>
      </w:r>
    </w:p>
    <w:p>
      <w:pPr>
        <w:spacing w:after="200"/>
      </w:pPr>
      <w:r>
        <w:t xml:space="preserve">Upon termination of the Venue Partnership Agreement, or upon Confetti's instruction, Venue shall:</w:t>
      </w:r>
    </w:p>
    <w:p>
      <w:pPr>
        <w:pStyle w:val="ListParagraph"/>
        <w:numPr>
          <w:ilvl w:val="0"/>
          <w:numId w:val="2"/>
        </w:numPr>
        <w:spacing w:after="120"/>
      </w:pPr>
      <w:r>
        <w:t xml:space="preserve">Delete or return all Personal Data within 30 days</w:t>
      </w:r>
    </w:p>
    <w:p>
      <w:pPr>
        <w:pStyle w:val="ListParagraph"/>
        <w:numPr>
          <w:ilvl w:val="0"/>
          <w:numId w:val="2"/>
        </w:numPr>
        <w:spacing w:after="120"/>
      </w:pPr>
      <w:r>
        <w:t xml:space="preserve">Provide written certification of deletion</w:t>
      </w:r>
    </w:p>
    <w:p>
      <w:pPr>
        <w:pStyle w:val="ListParagraph"/>
        <w:numPr>
          <w:ilvl w:val="0"/>
          <w:numId w:val="2"/>
        </w:numPr>
        <w:spacing w:after="120"/>
      </w:pPr>
      <w:r>
        <w:t xml:space="preserve">Retain only what is required by applicable law, clearly marked and access-restricted</w:t>
      </w:r>
    </w:p>
    <w:p>
      <w:pPr>
        <w:spacing w:after="200"/>
      </w:pPr>
      <w:r>
        <w:t xml:space="preserve">During the partnership, Venue shall not retain Personal Data longer than necessary for the purposes specified in Section 2.3.</w:t>
      </w:r>
    </w:p>
    <w:p>
      <w:pPr>
        <w:pStyle w:val="Heading2"/>
      </w:pPr>
      <w:r>
        <w:t xml:space="preserve">9. Liability and Indemnification</w:t>
      </w:r>
    </w:p>
    <w:p>
      <w:pPr>
        <w:spacing w:after="200"/>
      </w:pPr>
      <w:r>
        <w:t xml:space="preserve">Venue shall indemnify Confetti against all claims, losses, and expenses arising from Venue's breach of this DPA or Applicable Data Protection Laws. Liability caps in the Venue Partnership Agreement apply to this DPA.</w:t>
      </w:r>
    </w:p>
    <w:p>
      <w:pPr>
        <w:pStyle w:val="Heading2"/>
      </w:pPr>
      <w:r>
        <w:t xml:space="preserve">10. Term</w:t>
      </w:r>
    </w:p>
    <w:p>
      <w:pPr>
        <w:spacing w:after="200"/>
      </w:pPr>
      <w:r>
        <w:t xml:space="preserve">This DPA shall remain in effect for the duration of the Venue Partnership Agreement and for as long as Venue processes Personal Data on behalf of Confetti. Sections 5, 8, and 9 survive termination.</w:t>
      </w:r>
    </w:p>
    <w:p>
      <w:pPr>
        <w:pStyle w:val="Heading2"/>
      </w:pPr>
      <w:r>
        <w:t xml:space="preserve">11. Governing Law</w:t>
      </w:r>
    </w:p>
    <w:p>
      <w:pPr>
        <w:spacing w:after="200"/>
      </w:pPr>
      <w:r>
        <w:t xml:space="preserve">This DPA is governed by the laws of the District of Columbia, consistent with the Venue Partnership Agreement. For processing subject to GDPR, the relevant provisions of EU law apply to those processing activities.</w:t>
      </w:r>
    </w:p>
    <w:p>
      <w:pPr>
        <w:pStyle w:val="Heading2"/>
      </w:pPr>
      <w:r>
        <w:t xml:space="preserve">12. Signature</w:t>
      </w:r>
    </w:p>
    <w:p>
      <w:pPr>
        <w:spacing w:after="200"/>
      </w:pPr>
      <w:r>
        <w:t xml:space="preserve">By signing below, both parties agree to the terms of this Data Processing Agreement.</w:t>
      </w:r>
    </w:p>
    <w:p>
      <w:pPr>
        <w:spacing w:after="200"/>
      </w:pPr>
      <w:r>
        <w:t xml:space="preserve"/>
      </w:r>
    </w:p>
    <w:p>
      <w:pPr>
        <w:spacing w:after="200"/>
      </w:pPr>
      <w:r>
        <w:t xml:space="preserve">_______________________________________________</w:t>
      </w:r>
    </w:p>
    <w:p>
      <w:pPr>
        <w:spacing w:after="200"/>
      </w:pPr>
      <w:r>
        <w:rPr>
          <w:b/>
          <w:bCs/>
        </w:rPr>
        <w:t xml:space="preserve">For Confetti App, LLC (Controller)</w:t>
      </w:r>
    </w:p>
    <w:p>
      <w:pPr>
        <w:spacing w:after="200"/>
      </w:pPr>
      <w:r>
        <w:t xml:space="preserve">Name: ___________________  Title: ___________________</w:t>
      </w:r>
    </w:p>
    <w:p>
      <w:pPr>
        <w:spacing w:after="200"/>
      </w:pPr>
      <w:r>
        <w:t xml:space="preserve">Signature: ___________________  Date: ___________________</w:t>
      </w:r>
    </w:p>
    <w:p>
      <w:pPr>
        <w:spacing w:after="200"/>
      </w:pPr>
      <w:r>
        <w:t xml:space="preserve"/>
      </w:r>
    </w:p>
    <w:p>
      <w:pPr>
        <w:spacing w:after="200"/>
      </w:pPr>
      <w:r>
        <w:t xml:space="preserve">_______________________________________________</w:t>
      </w:r>
    </w:p>
    <w:p>
      <w:pPr>
        <w:spacing w:after="200"/>
      </w:pPr>
      <w:r>
        <w:rPr>
          <w:b/>
          <w:bCs/>
        </w:rPr>
        <w:t xml:space="preserve">For Venue (Processor)</w:t>
      </w:r>
    </w:p>
    <w:p>
      <w:pPr>
        <w:spacing w:after="200"/>
      </w:pPr>
      <w:r>
        <w:t xml:space="preserve">Venue Name: ___________________</w:t>
      </w:r>
    </w:p>
    <w:p>
      <w:pPr>
        <w:spacing w:after="200"/>
      </w:pPr>
      <w:r>
        <w:t xml:space="preserve">Name: ___________________  Title: ___________________</w:t>
      </w:r>
    </w:p>
    <w:p>
      <w:pPr>
        <w:spacing w:after="200"/>
      </w:pPr>
      <w:r>
        <w:t xml:space="preserve">Signature: ___________________  Date: ___________________</w:t>
      </w:r>
    </w:p>
    <w:sectPr>
      <w:headerReference w:type="default" r:id="rId7"/>
      <w:footerReference w:type="default" r:id="rId8"/>
      <w:pgSz w:w="12240" w:h="15840" w:orient="portrait"/>
      <w:pgMar w:top="1440" w:right="1440" w:bottom="1440" w:left="144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 2026 Confetti App, LLC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88888"/>
        <w:sz w:val="18"/>
        <w:szCs w:val="18"/>
      </w:rPr>
      <w:t xml:space="preserve">Confetti | </w:t>
    </w:r>
    <w:r>
      <w:rPr>
        <w:color w:val="888888"/>
        <w:sz w:val="18"/>
        <w:szCs w:val="18"/>
      </w:rPr>
      <w:t xml:space="preserve">Venue Data Processing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D2D44"/>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D3D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2026-05-20T00:18:19.567Z</dcterms:created>
  <dcterms:modified xsi:type="dcterms:W3CDTF">2026-05-20T00:18:19.567Z</dcterms:modified>
</cp:coreProperties>
</file>

<file path=docProps/custom.xml><?xml version="1.0" encoding="utf-8"?>
<Properties xmlns="http://schemas.openxmlformats.org/officeDocument/2006/custom-properties" xmlns:vt="http://schemas.openxmlformats.org/officeDocument/2006/docPropsVTypes"/>
</file>