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Vendor Data Processing Agreement</w:t>
      </w:r>
    </w:p>
    <w:p>
      <w:pPr>
        <w:spacing w:after="200"/>
      </w:pPr>
      <w:r>
        <w:rPr>
          <w:b/>
          <w:bCs/>
        </w:rPr>
        <w:t xml:space="preserve">Effective Date: May 19, 2026</w:t>
      </w:r>
    </w:p>
    <w:p>
      <w:pPr>
        <w:spacing w:after="200"/>
      </w:pPr>
      <w:r>
        <w:t xml:space="preserve">This Data Processing Agreement ("DPA") governs the processing of Personal Data by the Vendor identified in the applicable service agreement ("Vendor," "Processor") on behalf of Confetti App, LLC ("Confetti," "Controller").</w:t>
      </w:r>
    </w:p>
    <w:p>
      <w:pPr>
        <w:pStyle w:val="Heading2"/>
      </w:pPr>
      <w:r>
        <w:t xml:space="preserve">1. Definitions</w:t>
      </w:r>
    </w:p>
    <w:p>
      <w:pPr>
        <w:spacing w:after="200"/>
      </w:pPr>
      <w:r>
        <w:t xml:space="preserve">Terms used herein have the meanings set forth in the General Data Protection Regulation (EU 2016/679), the California Consumer Privacy Act, and the associated service agreement.</w:t>
      </w:r>
    </w:p>
    <w:p>
      <w:pPr>
        <w:pStyle w:val="Heading2"/>
      </w:pPr>
      <w:r>
        <w:t xml:space="preserve">2. Scope of Processing</w:t>
      </w:r>
    </w:p>
    <w:p>
      <w:pPr>
        <w:spacing w:after="200"/>
      </w:pPr>
      <w:r>
        <w:t xml:space="preserve">Vendor processes Personal Data solely as necessary to perform the services described in the applicable service agreement. Processing activities, data categories, and Data Subject categories are specified in Annex 1 to this DPA.</w:t>
      </w:r>
    </w:p>
    <w:p>
      <w:pPr>
        <w:pStyle w:val="ListParagraph"/>
        <w:numPr>
          <w:ilvl w:val="0"/>
          <w:numId w:val="2"/>
        </w:numPr>
        <w:spacing w:after="120"/>
      </w:pPr>
      <w:r>
        <w:t xml:space="preserve">Categories of Data Subjects: Confetti end users, influencer partners, venue partners, Confetti employees</w:t>
      </w:r>
    </w:p>
    <w:p>
      <w:pPr>
        <w:pStyle w:val="ListParagraph"/>
        <w:numPr>
          <w:ilvl w:val="0"/>
          <w:numId w:val="2"/>
        </w:numPr>
        <w:spacing w:after="120"/>
      </w:pPr>
      <w:r>
        <w:t xml:space="preserve">Types of Data: As specified per service (e.g., hosting providers receive encrypted database backups; analytics vendors receive anonymized event streams; payment processors receive tokenized payment data)</w:t>
      </w:r>
    </w:p>
    <w:p>
      <w:pPr>
        <w:pStyle w:val="ListParagraph"/>
        <w:numPr>
          <w:ilvl w:val="0"/>
          <w:numId w:val="2"/>
        </w:numPr>
        <w:spacing w:after="120"/>
      </w:pPr>
      <w:r>
        <w:t xml:space="preserve">Processing purposes: Limited to service delivery as documented in instructions from Confetti</w:t>
      </w:r>
    </w:p>
    <w:p>
      <w:pPr>
        <w:pStyle w:val="Heading2"/>
      </w:pPr>
      <w:r>
        <w:t xml:space="preserve">3. Vendor Obligations</w:t>
      </w:r>
    </w:p>
    <w:p>
      <w:pPr>
        <w:pStyle w:val="Heading3"/>
      </w:pPr>
      <w:r>
        <w:t xml:space="preserve">3.1 Processing Instructions</w:t>
      </w:r>
    </w:p>
    <w:p>
      <w:pPr>
        <w:spacing w:after="200"/>
      </w:pPr>
      <w:r>
        <w:t xml:space="preserve">Vendor shall process Personal Data only on documented instructions from Confetti. Vendor shall immediately inform Confetti if, in Vendor's opinion, an instruction infringes Applicable Data Protection Laws.</w:t>
      </w:r>
    </w:p>
    <w:p>
      <w:pPr>
        <w:pStyle w:val="Heading3"/>
      </w:pPr>
      <w:r>
        <w:t xml:space="preserve">3.2 Confidentiality</w:t>
      </w:r>
    </w:p>
    <w:p>
      <w:pPr>
        <w:spacing w:after="200"/>
      </w:pPr>
      <w:r>
        <w:t xml:space="preserve">Vendor shall ensure that all personnel authorized to process Personal Data are subject to enforceable confidentiality obligations.</w:t>
      </w:r>
    </w:p>
    <w:p>
      <w:pPr>
        <w:pStyle w:val="Heading3"/>
      </w:pPr>
      <w:r>
        <w:t xml:space="preserve">3.3 Security</w:t>
      </w:r>
    </w:p>
    <w:p>
      <w:pPr>
        <w:spacing w:after="200"/>
      </w:pPr>
      <w:r>
        <w:t xml:space="preserve">Vendor shall implement technical and organizational measures appropriate to the risk, including:</w:t>
      </w:r>
    </w:p>
    <w:p>
      <w:pPr>
        <w:pStyle w:val="ListParagraph"/>
        <w:numPr>
          <w:ilvl w:val="0"/>
          <w:numId w:val="2"/>
        </w:numPr>
        <w:spacing w:after="120"/>
      </w:pPr>
      <w:r>
        <w:t xml:space="preserve">Encryption of data in transit (TLS 1.2+) and at rest (AES-256 or equivalent)</w:t>
      </w:r>
    </w:p>
    <w:p>
      <w:pPr>
        <w:pStyle w:val="ListParagraph"/>
        <w:numPr>
          <w:ilvl w:val="0"/>
          <w:numId w:val="2"/>
        </w:numPr>
        <w:spacing w:after="120"/>
      </w:pPr>
      <w:r>
        <w:t xml:space="preserve">Role-based access controls with principle of least privilege</w:t>
      </w:r>
    </w:p>
    <w:p>
      <w:pPr>
        <w:pStyle w:val="ListParagraph"/>
        <w:numPr>
          <w:ilvl w:val="0"/>
          <w:numId w:val="2"/>
        </w:numPr>
        <w:spacing w:after="120"/>
      </w:pPr>
      <w:r>
        <w:t xml:space="preserve">Multi-factor authentication for administrative access</w:t>
      </w:r>
    </w:p>
    <w:p>
      <w:pPr>
        <w:pStyle w:val="ListParagraph"/>
        <w:numPr>
          <w:ilvl w:val="0"/>
          <w:numId w:val="2"/>
        </w:numPr>
        <w:spacing w:after="120"/>
      </w:pPr>
      <w:r>
        <w:t xml:space="preserve">Regular penetration testing and vulnerability assessments (at least annually)</w:t>
      </w:r>
    </w:p>
    <w:p>
      <w:pPr>
        <w:pStyle w:val="ListParagraph"/>
        <w:numPr>
          <w:ilvl w:val="0"/>
          <w:numId w:val="2"/>
        </w:numPr>
        <w:spacing w:after="120"/>
      </w:pPr>
      <w:r>
        <w:t xml:space="preserve">Logging and monitoring of access to Personal Data</w:t>
      </w:r>
    </w:p>
    <w:p>
      <w:pPr>
        <w:pStyle w:val="ListParagraph"/>
        <w:numPr>
          <w:ilvl w:val="0"/>
          <w:numId w:val="2"/>
        </w:numPr>
        <w:spacing w:after="120"/>
      </w:pPr>
      <w:r>
        <w:t xml:space="preserve">Business continuity and disaster recovery procedures</w:t>
      </w:r>
    </w:p>
    <w:p>
      <w:pPr>
        <w:pStyle w:val="Heading3"/>
      </w:pPr>
      <w:r>
        <w:t xml:space="preserve">3.4 Sub-processors</w:t>
      </w:r>
    </w:p>
    <w:p>
      <w:pPr>
        <w:spacing w:after="200"/>
      </w:pPr>
      <w:r>
        <w:t xml:space="preserve">Vendor shall not engage Sub-processors without prior written authorization from Confetti. Vendor shall maintain a current list of Sub-processors and notify Confetti at least 30 days before adding or replacing any Sub-processor. Confetti may object within 15 days. If the objection is not resolved, Confetti may terminate the affected services.</w:t>
      </w:r>
    </w:p>
    <w:p>
      <w:pPr>
        <w:pStyle w:val="Heading3"/>
      </w:pPr>
      <w:r>
        <w:t xml:space="preserve">3.5 Data Subject Requests</w:t>
      </w:r>
    </w:p>
    <w:p>
      <w:pPr>
        <w:spacing w:after="200"/>
      </w:pPr>
      <w:r>
        <w:t xml:space="preserve">Vendor shall promptly assist Confetti in fulfilling Data Subject requests (access, rectification, erasure, portability, restriction, objection) within 5 business days of receiving Confetti's request.</w:t>
      </w:r>
    </w:p>
    <w:p>
      <w:pPr>
        <w:pStyle w:val="Heading3"/>
      </w:pPr>
      <w:r>
        <w:t xml:space="preserve">3.6 Data Protection Impact Assessments</w:t>
      </w:r>
    </w:p>
    <w:p>
      <w:pPr>
        <w:spacing w:after="200"/>
      </w:pPr>
      <w:r>
        <w:t xml:space="preserve">Vendor shall assist Confetti in conducting Data Protection Impact Assessments and prior consultations with supervisory authorities where required.</w:t>
      </w:r>
    </w:p>
    <w:p>
      <w:pPr>
        <w:pStyle w:val="Heading2"/>
      </w:pPr>
      <w:r>
        <w:t xml:space="preserve">4. Data Breach Notification</w:t>
      </w:r>
    </w:p>
    <w:p>
      <w:pPr>
        <w:spacing w:after="200"/>
      </w:pPr>
      <w:r>
        <w:t xml:space="preserve">Vendor shall notify Confetti of any confirmed or suspected Personal Data breach within 24 hours of discovery. Notification shall include: (a) nature and scope of the breach; (b) categories and approximate number of Data Subjects affected; (c) likely consequences; (d) measures taken or proposed to contain and remediate the breach.</w:t>
      </w:r>
    </w:p>
    <w:p>
      <w:pPr>
        <w:spacing w:after="200"/>
      </w:pPr>
      <w:r>
        <w:t xml:space="preserve">Vendor shall cooperate fully with Confetti's breach response, investigation, and regulatory notification obligations.</w:t>
      </w:r>
    </w:p>
    <w:p>
      <w:pPr>
        <w:pStyle w:val="Heading2"/>
      </w:pPr>
      <w:r>
        <w:t xml:space="preserve">5. International Data Transfers</w:t>
      </w:r>
    </w:p>
    <w:p>
      <w:pPr>
        <w:spacing w:after="200"/>
      </w:pPr>
      <w:r>
        <w:t xml:space="preserve">Vendor shall not transfer Personal Data outside the United States or European Economic Area without Confetti's prior written consent and implementation of appropriate safeguards (Standard Contractual Clauses, adequacy decisions, or other approved mechanisms).</w:t>
      </w:r>
    </w:p>
    <w:p>
      <w:pPr>
        <w:pStyle w:val="Heading2"/>
      </w:pPr>
      <w:r>
        <w:t xml:space="preserve">6. Audit Rights</w:t>
      </w:r>
    </w:p>
    <w:p>
      <w:pPr>
        <w:spacing w:after="200"/>
      </w:pPr>
      <w:r>
        <w:t xml:space="preserve">Confetti may audit Vendor's compliance with this DPA upon 30 days' notice, no more than annually unless a breach is suspected. Vendor shall provide access to relevant systems, records, and personnel. If Vendor has a current SOC 2 Type II or ISO 27001 certification, Confetti may accept the report in lieu of an on-site audit. Audit costs follow the allocation in the service agreement.</w:t>
      </w:r>
    </w:p>
    <w:p>
      <w:pPr>
        <w:pStyle w:val="Heading2"/>
      </w:pPr>
      <w:r>
        <w:t xml:space="preserve">7. Data Return and Deletion</w:t>
      </w:r>
    </w:p>
    <w:p>
      <w:pPr>
        <w:spacing w:after="200"/>
      </w:pPr>
      <w:r>
        <w:t xml:space="preserve">Upon termination or expiration of the service agreement, Vendor shall, at Confetti's election, return or securely delete all Personal Data within 30 days and certify deletion in writing. Vendor may retain data only as required by applicable law, with access restricted and processing limited to the mandated purpose.</w:t>
      </w:r>
    </w:p>
    <w:p>
      <w:pPr>
        <w:pStyle w:val="Heading2"/>
      </w:pPr>
      <w:r>
        <w:t xml:space="preserve">8. Liability</w:t>
      </w:r>
    </w:p>
    <w:p>
      <w:pPr>
        <w:spacing w:after="200"/>
      </w:pPr>
      <w:r>
        <w:t xml:space="preserve">Vendor shall indemnify Confetti for losses arising from Vendor's breach of this DPA or Applicable Data Protection Laws. Liability caps in the service agreement apply, except that no cap applies to breaches caused by Vendor's willful misconduct or gross negligence.</w:t>
      </w:r>
    </w:p>
    <w:p>
      <w:pPr>
        <w:pStyle w:val="Heading2"/>
      </w:pPr>
      <w:r>
        <w:t xml:space="preserve">9. Term</w:t>
      </w:r>
    </w:p>
    <w:p>
      <w:pPr>
        <w:spacing w:after="200"/>
      </w:pPr>
      <w:r>
        <w:t xml:space="preserve">This DPA is effective for the duration of the service agreement and survives until all Personal Data is deleted or returned. Sections 4, 7, and 8 survive termination.</w:t>
      </w:r>
    </w:p>
    <w:p>
      <w:pPr>
        <w:pStyle w:val="Heading2"/>
      </w:pPr>
      <w:r>
        <w:t xml:space="preserve">10. Governing Law</w:t>
      </w:r>
    </w:p>
    <w:p>
      <w:pPr>
        <w:spacing w:after="200"/>
      </w:pPr>
      <w:r>
        <w:t xml:space="preserve">This DPA is governed by the laws of the District of Columbia. For processing subject to GDPR, the relevant provisions of EU law apply.</w:t>
      </w:r>
    </w:p>
    <w:p>
      <w:pPr>
        <w:pStyle w:val="Heading2"/>
      </w:pPr>
      <w:r>
        <w:t xml:space="preserve">Annex 1: Processing Details</w:t>
      </w:r>
    </w:p>
    <w:p>
      <w:pPr>
        <w:spacing w:after="200"/>
      </w:pPr>
      <w:r>
        <w:t xml:space="preserve">To be completed for each Vendor engagement, specifying: (a) description of services; (b) categories of data subjects; (c) types of personal data; (d) processing activities; (e) retention period; (f) Sub-processors (if any).</w:t>
      </w:r>
    </w:p>
    <w:p>
      <w:pPr>
        <w:pStyle w:val="Heading2"/>
      </w:pPr>
      <w:r>
        <w:t xml:space="preserve">11. Signature</w:t>
      </w:r>
    </w:p>
    <w:p>
      <w:pPr>
        <w:spacing w:after="200"/>
      </w:pPr>
      <w:r>
        <w:t xml:space="preserve"/>
      </w:r>
    </w:p>
    <w:p>
      <w:pPr>
        <w:spacing w:after="200"/>
      </w:pPr>
      <w:r>
        <w:t xml:space="preserve">_______________________________________________</w:t>
      </w:r>
    </w:p>
    <w:p>
      <w:pPr>
        <w:spacing w:after="200"/>
      </w:pPr>
      <w:r>
        <w:rPr>
          <w:b/>
          <w:bCs/>
        </w:rPr>
        <w:t xml:space="preserve">For Confetti App, LLC (Controller)</w:t>
      </w:r>
    </w:p>
    <w:p>
      <w:pPr>
        <w:spacing w:after="200"/>
      </w:pPr>
      <w:r>
        <w:t xml:space="preserve">Name: ___________________  Title: ___________________</w:t>
      </w:r>
    </w:p>
    <w:p>
      <w:pPr>
        <w:spacing w:after="200"/>
      </w:pPr>
      <w:r>
        <w:t xml:space="preserve">Signature: ___________________  Date: ___________________</w:t>
      </w:r>
    </w:p>
    <w:p>
      <w:pPr>
        <w:spacing w:after="200"/>
      </w:pPr>
      <w:r>
        <w:t xml:space="preserve"/>
      </w:r>
    </w:p>
    <w:p>
      <w:pPr>
        <w:spacing w:after="200"/>
      </w:pPr>
      <w:r>
        <w:t xml:space="preserve">_______________________________________________</w:t>
      </w:r>
    </w:p>
    <w:p>
      <w:pPr>
        <w:spacing w:after="200"/>
      </w:pPr>
      <w:r>
        <w:rPr>
          <w:b/>
          <w:bCs/>
        </w:rPr>
        <w:t xml:space="preserve">For Vendor (Processor)</w:t>
      </w:r>
    </w:p>
    <w:p>
      <w:pPr>
        <w:spacing w:after="200"/>
      </w:pPr>
      <w:r>
        <w:t xml:space="preserve">Company: ___________________</w:t>
      </w:r>
    </w:p>
    <w:p>
      <w:pPr>
        <w:spacing w:after="200"/>
      </w:pPr>
      <w:r>
        <w:t xml:space="preserve">Name: ___________________  Title: ___________________</w:t>
      </w:r>
    </w:p>
    <w:p>
      <w:pPr>
        <w:spacing w:after="200"/>
      </w:pPr>
      <w:r>
        <w:t xml:space="preserve">Signature: ___________________  Date: 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 2026 Confetti App, LLC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88888"/>
        <w:sz w:val="18"/>
        <w:szCs w:val="18"/>
      </w:rPr>
      <w:t xml:space="preserve">Confetti | </w:t>
    </w:r>
    <w:r>
      <w:rPr>
        <w:color w:val="888888"/>
        <w:sz w:val="18"/>
        <w:szCs w:val="18"/>
      </w:rPr>
      <w:t xml:space="preserve">Vendor Data Processing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2D44"/>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2026-05-20T00:22:25.575Z</dcterms:created>
  <dcterms:modified xsi:type="dcterms:W3CDTF">2026-05-20T00:22:25.575Z</dcterms:modified>
</cp:coreProperties>
</file>

<file path=docProps/custom.xml><?xml version="1.0" encoding="utf-8"?>
<Properties xmlns="http://schemas.openxmlformats.org/officeDocument/2006/custom-properties" xmlns:vt="http://schemas.openxmlformats.org/officeDocument/2006/docPropsVTypes"/>
</file>