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B5CF6"/>
          <w:sz w:val="72"/>
          <w:szCs w:val="72"/>
        </w:rPr>
        <w:t xml:space="preserve">CONFETTI</w:t>
      </w:r>
    </w:p>
    <w:p>
      <w:pPr>
        <w:spacing w:after="100"/>
        <w:jc w:val="center"/>
      </w:pPr>
      <w:r>
        <w:rPr>
          <w:rFonts w:ascii="Arial" w:cs="Arial" w:eastAsia="Arial" w:hAnsi="Arial"/>
          <w:color w:val="1A1025"/>
          <w:sz w:val="36"/>
          <w:szCs w:val="36"/>
        </w:rPr>
        <w:t xml:space="preserve">Payment Plans &amp; Billing Guide</w:t>
      </w:r>
    </w:p>
    <w:p>
      <w:pPr>
        <w:spacing w:after="100"/>
        <w:jc w:val="center"/>
      </w:pPr>
      <w:r>
        <w:rPr>
          <w:rFonts w:ascii="Arial" w:cs="Arial" w:eastAsia="Arial" w:hAnsi="Arial"/>
          <w:i/>
          <w:iCs/>
          <w:color w:val="666666"/>
          <w:sz w:val="24"/>
          <w:szCs w:val="24"/>
        </w:rPr>
        <w:t xml:space="preserve">Flexible Options to Fit Your Business</w:t>
      </w:r>
    </w:p>
    <w:p>
      <w:pPr>
        <w:pBdr>
          <w:bottom w:val="single" w:color="8B5CF6" w:sz="6" w:space="1"/>
        </w:pBdr>
        <w:spacing w:after="200"/>
        <w:jc w:val="center"/>
      </w:pPr>
    </w:p>
    <w:p>
      <w:pPr>
        <w:spacing w:before="200"/>
        <w:jc w:val="center"/>
      </w:pPr>
      <w:r>
        <w:rPr>
          <w:rFonts w:ascii="Arial" w:cs="Arial" w:eastAsia="Arial" w:hAnsi="Arial"/>
          <w:color w:val="999999"/>
          <w:sz w:val="20"/>
          <w:szCs w:val="20"/>
        </w:rPr>
        <w:t xml:space="preserve">Effective: May 2026</w:t>
      </w:r>
    </w:p>
    <w:p>
      <w:r>
        <w:br w:type="page"/>
      </w:r>
    </w:p>
    <w:p>
      <w:pPr>
        <w:pStyle w:val="Heading1"/>
      </w:pPr>
      <w:r>
        <w:rPr>
          <w:b/>
          <w:bCs/>
        </w:rPr>
        <w:t xml:space="preserve">Payment Plan Overview</w:t>
      </w:r>
    </w:p>
    <w:p>
      <w:pPr>
        <w:spacing w:after="180"/>
      </w:pPr>
      <w:r>
        <w:rPr>
          <w:rFonts w:ascii="Arial" w:cs="Arial" w:eastAsia="Arial" w:hAnsi="Arial"/>
          <w:sz w:val="22"/>
          <w:szCs w:val="22"/>
        </w:rPr>
        <w:t xml:space="preserve">We believe great partnerships should be flexible. That's why Confetti offers three billing cycles so you can choose the commitment level that works best for your business. The longer you commit, the more you save.</w:t>
      </w:r>
    </w:p>
    <w:p>
      <w:pPr>
        <w:pStyle w:val="Heading2"/>
      </w:pPr>
      <w:r>
        <w:rPr>
          <w:b/>
          <w:bCs/>
        </w:rPr>
        <w:t xml:space="preserve">Complete Pricing Matrix</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1980"/>
        <w:gridCol w:w="1980"/>
        <w:gridCol w:w="1980"/>
      </w:tblGrid>
      <w:tr>
        <w:tc>
          <w:tcPr>
            <w:tcW w:type="dxa" w:w="216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198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SPOTLIGHT</w:t>
            </w:r>
          </w:p>
        </w:tc>
        <w:tc>
          <w:tcPr>
            <w:tcW w:type="dxa" w:w="198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FEATURED</w:t>
            </w:r>
          </w:p>
        </w:tc>
        <w:tc>
          <w:tcPr>
            <w:tcW w:type="dxa" w:w="198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PREMIER</w:t>
            </w:r>
          </w:p>
        </w:tc>
        <w:tc>
          <w:tcPr>
            <w:tcW w:type="dxa" w:w="198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SAVINGS</w:t>
            </w:r>
          </w:p>
        </w:tc>
      </w:tr>
      <w:tr>
        <w:tc>
          <w:tcPr>
            <w:tcW w:type="dxa" w:w="216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sz w:val="22"/>
                <w:szCs w:val="22"/>
              </w:rPr>
              <w:t xml:space="preserve">MONTHLY</w:t>
            </w:r>
          </w:p>
          <w:p>
            <w:r>
              <w:rPr>
                <w:rFonts w:ascii="Arial" w:cs="Arial" w:eastAsia="Arial" w:hAnsi="Arial"/>
                <w:i/>
                <w:iCs/>
                <w:color w:val="666666"/>
                <w:sz w:val="16"/>
                <w:szCs w:val="16"/>
              </w:rPr>
              <w:t xml:space="preserve">Pay as you go</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$79/mo</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$299/mo</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$999/mo</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color w:val="999999"/>
                <w:sz w:val="20"/>
                <w:szCs w:val="20"/>
              </w:rPr>
              <w:t xml:space="preserve">—</w:t>
            </w:r>
          </w:p>
        </w:tc>
      </w:tr>
      <w:tr>
        <w:tc>
          <w:tcPr>
            <w:tcW w:type="dxa" w:w="216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sz w:val="22"/>
                <w:szCs w:val="22"/>
              </w:rPr>
              <w:t xml:space="preserve">QUARTERLY</w:t>
            </w:r>
          </w:p>
          <w:p>
            <w:r>
              <w:rPr>
                <w:rFonts w:ascii="Arial" w:cs="Arial" w:eastAsia="Arial" w:hAnsi="Arial"/>
                <w:i/>
                <w:iCs/>
                <w:color w:val="666666"/>
                <w:sz w:val="16"/>
                <w:szCs w:val="16"/>
              </w:rPr>
              <w:t xml:space="preserve">Billed every 3 months</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b/>
                <w:bCs/>
                <w:sz w:val="22"/>
                <w:szCs w:val="22"/>
              </w:rPr>
              <w:t xml:space="preserve">$71/mo</w:t>
            </w:r>
          </w:p>
          <w:p>
            <w:pPr>
              <w:jc w:val="center"/>
            </w:pPr>
            <w:r>
              <w:rPr>
                <w:rFonts w:ascii="Arial" w:cs="Arial" w:eastAsia="Arial" w:hAnsi="Arial"/>
                <w:color w:val="666666"/>
                <w:sz w:val="16"/>
                <w:szCs w:val="16"/>
              </w:rPr>
              <w:t xml:space="preserve">$213/quarter</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b/>
                <w:bCs/>
                <w:sz w:val="22"/>
                <w:szCs w:val="22"/>
              </w:rPr>
              <w:t xml:space="preserve">$269/mo</w:t>
            </w:r>
          </w:p>
          <w:p>
            <w:pPr>
              <w:jc w:val="center"/>
            </w:pPr>
            <w:r>
              <w:rPr>
                <w:rFonts w:ascii="Arial" w:cs="Arial" w:eastAsia="Arial" w:hAnsi="Arial"/>
                <w:color w:val="666666"/>
                <w:sz w:val="16"/>
                <w:szCs w:val="16"/>
              </w:rPr>
              <w:t xml:space="preserve">$807/quarter</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b/>
                <w:bCs/>
                <w:sz w:val="22"/>
                <w:szCs w:val="22"/>
              </w:rPr>
              <w:t xml:space="preserve">$899/mo</w:t>
            </w:r>
          </w:p>
          <w:p>
            <w:pPr>
              <w:jc w:val="center"/>
            </w:pPr>
            <w:r>
              <w:rPr>
                <w:rFonts w:ascii="Arial" w:cs="Arial" w:eastAsia="Arial" w:hAnsi="Arial"/>
                <w:color w:val="666666"/>
                <w:sz w:val="16"/>
                <w:szCs w:val="16"/>
              </w:rPr>
              <w:t xml:space="preserve">$2,697/quarter</w:t>
            </w:r>
          </w:p>
        </w:tc>
        <w:tc>
          <w:tcPr>
            <w:tcW w:type="dxa" w:w="19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10% OFF</w:t>
            </w:r>
          </w:p>
        </w:tc>
      </w:tr>
      <w:tr>
        <w:tc>
          <w:tcPr>
            <w:tcW w:type="dxa" w:w="216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sz w:val="22"/>
                <w:szCs w:val="22"/>
              </w:rPr>
              <w:t xml:space="preserve">ANNUAL</w:t>
            </w:r>
          </w:p>
          <w:p>
            <w:r>
              <w:rPr>
                <w:rFonts w:ascii="Arial" w:cs="Arial" w:eastAsia="Arial" w:hAnsi="Arial"/>
                <w:i/>
                <w:iCs/>
                <w:color w:val="666666"/>
                <w:sz w:val="16"/>
                <w:szCs w:val="16"/>
              </w:rPr>
              <w:t xml:space="preserve">Best value — billed yearly</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b/>
                <w:bCs/>
                <w:sz w:val="22"/>
                <w:szCs w:val="22"/>
              </w:rPr>
              <w:t xml:space="preserve">$63/mo</w:t>
            </w:r>
          </w:p>
          <w:p>
            <w:pPr>
              <w:jc w:val="center"/>
            </w:pPr>
            <w:r>
              <w:rPr>
                <w:rFonts w:ascii="Arial" w:cs="Arial" w:eastAsia="Arial" w:hAnsi="Arial"/>
                <w:color w:val="666666"/>
                <w:sz w:val="16"/>
                <w:szCs w:val="16"/>
              </w:rPr>
              <w:t xml:space="preserve">$756/year</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b/>
                <w:bCs/>
                <w:sz w:val="22"/>
                <w:szCs w:val="22"/>
              </w:rPr>
              <w:t xml:space="preserve">$239/mo</w:t>
            </w:r>
          </w:p>
          <w:p>
            <w:pPr>
              <w:jc w:val="center"/>
            </w:pPr>
            <w:r>
              <w:rPr>
                <w:rFonts w:ascii="Arial" w:cs="Arial" w:eastAsia="Arial" w:hAnsi="Arial"/>
                <w:color w:val="666666"/>
                <w:sz w:val="16"/>
                <w:szCs w:val="16"/>
              </w:rPr>
              <w:t xml:space="preserve">$2,868/year</w:t>
            </w:r>
          </w:p>
        </w:tc>
        <w:tc>
          <w:tcPr>
            <w:tcW w:type="dxa" w:w="198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b/>
                <w:bCs/>
                <w:sz w:val="22"/>
                <w:szCs w:val="22"/>
              </w:rPr>
              <w:t xml:space="preserve">$799/mo</w:t>
            </w:r>
          </w:p>
          <w:p>
            <w:pPr>
              <w:jc w:val="center"/>
            </w:pPr>
            <w:r>
              <w:rPr>
                <w:rFonts w:ascii="Arial" w:cs="Arial" w:eastAsia="Arial" w:hAnsi="Arial"/>
                <w:color w:val="666666"/>
                <w:sz w:val="16"/>
                <w:szCs w:val="16"/>
              </w:rPr>
              <w:t xml:space="preserve">$9,588/year</w:t>
            </w:r>
          </w:p>
        </w:tc>
        <w:tc>
          <w:tcPr>
            <w:tcW w:type="dxa" w:w="19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20% OFF</w:t>
            </w:r>
          </w:p>
        </w:tc>
      </w:tr>
    </w:tbl>
    <w:p>
      <w:r>
        <w:br w:type="page"/>
      </w:r>
    </w:p>
    <w:p>
      <w:pPr>
        <w:pStyle w:val="Heading2"/>
      </w:pPr>
      <w:r>
        <w:rPr>
          <w:b/>
          <w:bCs/>
        </w:rPr>
        <w:t xml:space="preserve">Annual Savings Breakdown</w:t>
      </w:r>
    </w:p>
    <w:p>
      <w:pPr>
        <w:spacing w:after="180"/>
      </w:pPr>
      <w:r>
        <w:rPr>
          <w:rFonts w:ascii="Arial" w:cs="Arial" w:eastAsia="Arial" w:hAnsi="Arial"/>
          <w:sz w:val="22"/>
          <w:szCs w:val="22"/>
        </w:rPr>
        <w:t xml:space="preserve">Here's exactly how much you save by choosing a longer commitment:</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Monthly Cost (12 mo)</w:t>
            </w:r>
          </w:p>
        </w:tc>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Annual Plan Cost</w:t>
            </w:r>
          </w:p>
        </w:tc>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You Save</w:t>
            </w:r>
          </w:p>
        </w:tc>
      </w:tr>
      <w:tr>
        <w:tc>
          <w:tcPr>
            <w:tcW w:type="dxa" w:w="252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Spotlight</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$948</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$756</w:t>
            </w:r>
          </w:p>
        </w:tc>
        <w:tc>
          <w:tcPr>
            <w:tcW w:type="dxa" w:w="252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$192/year</w:t>
            </w:r>
          </w:p>
        </w:tc>
      </w:tr>
      <w:tr>
        <w:tc>
          <w:tcPr>
            <w:tcW w:type="dxa" w:w="252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Featured</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$3,588</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$2,868</w:t>
            </w:r>
          </w:p>
        </w:tc>
        <w:tc>
          <w:tcPr>
            <w:tcW w:type="dxa" w:w="252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$720/year</w:t>
            </w:r>
          </w:p>
        </w:tc>
      </w:tr>
      <w:tr>
        <w:tc>
          <w:tcPr>
            <w:tcW w:type="dxa" w:w="252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Premier</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$11,988</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$9,588</w:t>
            </w:r>
          </w:p>
        </w:tc>
        <w:tc>
          <w:tcPr>
            <w:tcW w:type="dxa" w:w="252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$2,400/year</w:t>
            </w:r>
          </w:p>
        </w:tc>
      </w:tr>
    </w:tbl>
    <w:p>
      <w:pPr>
        <w:spacing w:before="400"/>
      </w:pPr>
    </w:p>
    <w:p>
      <w:pPr>
        <w:pStyle w:val="Heading2"/>
      </w:pPr>
      <w:r>
        <w:rPr>
          <w:b/>
          <w:bCs/>
        </w:rPr>
        <w:t xml:space="preserve">Boost Credit Add-Ons</w:t>
      </w:r>
    </w:p>
    <w:p>
      <w:pPr>
        <w:spacing w:after="180"/>
      </w:pPr>
      <w:r>
        <w:rPr>
          <w:rFonts w:ascii="Arial" w:cs="Arial" w:eastAsia="Arial" w:hAnsi="Arial"/>
          <w:sz w:val="22"/>
          <w:szCs w:val="22"/>
        </w:rPr>
        <w:t xml:space="preserve">Need more visibility? Purchase additional Boost Credits any time, on any tier.</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Package</w:t>
            </w:r>
          </w:p>
        </w:tc>
        <w:tc>
          <w:tcPr>
            <w:tcW w:type="dxa" w:w="336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w:t>
            </w:r>
          </w:p>
        </w:tc>
        <w:tc>
          <w:tcPr>
            <w:tcW w:type="dxa" w:w="336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 Credit</w:t>
            </w:r>
          </w:p>
        </w:tc>
      </w:tr>
      <w:tr>
        <w:tc>
          <w:tcPr>
            <w:tcW w:type="dxa" w:w="336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Single Credit</w:t>
            </w:r>
          </w:p>
        </w:tc>
        <w:tc>
          <w:tcPr>
            <w:tcW w:type="dxa" w:w="336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$15</w:t>
            </w:r>
          </w:p>
        </w:tc>
        <w:tc>
          <w:tcPr>
            <w:tcW w:type="dxa" w:w="336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$15.00</w:t>
            </w:r>
          </w:p>
        </w:tc>
      </w:tr>
      <w:tr>
        <w:tc>
          <w:tcPr>
            <w:tcW w:type="dxa" w:w="336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10-Pack</w:t>
            </w:r>
          </w:p>
        </w:tc>
        <w:tc>
          <w:tcPr>
            <w:tcW w:type="dxa" w:w="336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$120</w:t>
            </w:r>
          </w:p>
        </w:tc>
        <w:tc>
          <w:tcPr>
            <w:tcW w:type="dxa" w:w="336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color w:val="2E7D32"/>
                <w:sz w:val="20"/>
                <w:szCs w:val="20"/>
              </w:rPr>
              <w:t xml:space="preserve">$12.00 (20% off)</w:t>
            </w:r>
          </w:p>
        </w:tc>
      </w:tr>
      <w:tr>
        <w:tc>
          <w:tcPr>
            <w:tcW w:type="dxa" w:w="336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25-Pack</w:t>
            </w:r>
          </w:p>
        </w:tc>
        <w:tc>
          <w:tcPr>
            <w:tcW w:type="dxa" w:w="336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$262.50</w:t>
            </w:r>
          </w:p>
        </w:tc>
        <w:tc>
          <w:tcPr>
            <w:tcW w:type="dxa" w:w="336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color w:val="2E7D32"/>
                <w:sz w:val="20"/>
                <w:szCs w:val="20"/>
              </w:rPr>
              <w:t xml:space="preserve">$10.50 (30% off)</w:t>
            </w:r>
          </w:p>
        </w:tc>
      </w:tr>
      <w:tr>
        <w:tc>
          <w:tcPr>
            <w:tcW w:type="dxa" w:w="336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50-Pack</w:t>
            </w:r>
          </w:p>
        </w:tc>
        <w:tc>
          <w:tcPr>
            <w:tcW w:type="dxa" w:w="336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$450</w:t>
            </w:r>
          </w:p>
        </w:tc>
        <w:tc>
          <w:tcPr>
            <w:tcW w:type="dxa" w:w="336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color w:val="2E7D32"/>
                <w:sz w:val="20"/>
                <w:szCs w:val="20"/>
              </w:rPr>
              <w:t xml:space="preserve">$9.00 (40% off)</w:t>
            </w:r>
          </w:p>
        </w:tc>
      </w:tr>
    </w:tbl>
    <w:p>
      <w:r>
        <w:br w:type="page"/>
      </w:r>
    </w:p>
    <w:p>
      <w:pPr>
        <w:pStyle w:val="Heading1"/>
      </w:pPr>
      <w:r>
        <w:rPr>
          <w:b/>
          <w:bCs/>
        </w:rPr>
        <w:t xml:space="preserve">Billing Policies</w:t>
      </w:r>
    </w:p>
    <w:p>
      <w:pPr>
        <w:pStyle w:val="Heading3"/>
      </w:pPr>
      <w:r>
        <w:rPr>
          <w:b/>
          <w:bCs/>
        </w:rPr>
        <w:t xml:space="preserve">Accepted Payment Methods</w:t>
      </w:r>
    </w:p>
    <w:p>
      <w:pPr>
        <w:pStyle w:val="ListParagraph"/>
        <w:numPr>
          <w:ilvl w:val="0"/>
          <w:numId w:val="2"/>
        </w:numPr>
        <w:spacing w:after="80"/>
      </w:pPr>
      <w:r>
        <w:rPr>
          <w:rFonts w:ascii="Arial" w:cs="Arial" w:eastAsia="Arial" w:hAnsi="Arial"/>
          <w:sz w:val="22"/>
          <w:szCs w:val="22"/>
        </w:rPr>
        <w:t xml:space="preserve">Credit card (Visa, Mastercard, American Express, Discover)</w:t>
      </w:r>
    </w:p>
    <w:p>
      <w:pPr>
        <w:pStyle w:val="ListParagraph"/>
        <w:numPr>
          <w:ilvl w:val="0"/>
          <w:numId w:val="2"/>
        </w:numPr>
        <w:spacing w:after="80"/>
      </w:pPr>
      <w:r>
        <w:rPr>
          <w:rFonts w:ascii="Arial" w:cs="Arial" w:eastAsia="Arial" w:hAnsi="Arial"/>
          <w:sz w:val="22"/>
          <w:szCs w:val="22"/>
        </w:rPr>
        <w:t xml:space="preserve">ACH bank transfer (US accounts only)</w:t>
      </w:r>
    </w:p>
    <w:p>
      <w:pPr>
        <w:pStyle w:val="ListParagraph"/>
        <w:numPr>
          <w:ilvl w:val="0"/>
          <w:numId w:val="2"/>
        </w:numPr>
        <w:spacing w:after="80"/>
      </w:pPr>
      <w:r>
        <w:rPr>
          <w:rFonts w:ascii="Arial" w:cs="Arial" w:eastAsia="Arial" w:hAnsi="Arial"/>
          <w:sz w:val="22"/>
          <w:szCs w:val="22"/>
        </w:rPr>
        <w:t xml:space="preserve">Wire transfer (for annual plans over $5,000)</w:t>
      </w:r>
    </w:p>
    <w:p>
      <w:pPr>
        <w:pStyle w:val="ListParagraph"/>
        <w:numPr>
          <w:ilvl w:val="0"/>
          <w:numId w:val="2"/>
        </w:numPr>
        <w:spacing w:after="80"/>
      </w:pPr>
      <w:r>
        <w:rPr>
          <w:rFonts w:ascii="Arial" w:cs="Arial" w:eastAsia="Arial" w:hAnsi="Arial"/>
          <w:sz w:val="22"/>
          <w:szCs w:val="22"/>
        </w:rPr>
        <w:t xml:space="preserve">Check (annual plans only, must be received 10 days before due date)</w:t>
      </w:r>
    </w:p>
    <w:p>
      <w:pPr>
        <w:spacing w:after="100"/>
      </w:pPr>
    </w:p>
    <w:p>
      <w:pPr>
        <w:pStyle w:val="Heading3"/>
      </w:pPr>
      <w:r>
        <w:rPr>
          <w:b/>
          <w:bCs/>
        </w:rPr>
        <w:t xml:space="preserve">Billing Cycle Details</w:t>
      </w:r>
    </w:p>
    <w:p>
      <w:pPr>
        <w:pStyle w:val="ListParagraph"/>
        <w:numPr>
          <w:ilvl w:val="0"/>
          <w:numId w:val="2"/>
        </w:numPr>
        <w:spacing w:after="80"/>
      </w:pPr>
      <w:r>
        <w:rPr>
          <w:rFonts w:ascii="Arial" w:cs="Arial" w:eastAsia="Arial" w:hAnsi="Arial"/>
          <w:sz w:val="22"/>
          <w:szCs w:val="22"/>
        </w:rPr>
        <w:t xml:space="preserve">Monthly plans: Billed on the 1st of each month. Auto-renews unless cancelled with 30 days notice.</w:t>
      </w:r>
    </w:p>
    <w:p>
      <w:pPr>
        <w:pStyle w:val="ListParagraph"/>
        <w:numPr>
          <w:ilvl w:val="0"/>
          <w:numId w:val="2"/>
        </w:numPr>
        <w:spacing w:after="80"/>
      </w:pPr>
      <w:r>
        <w:rPr>
          <w:rFonts w:ascii="Arial" w:cs="Arial" w:eastAsia="Arial" w:hAnsi="Arial"/>
          <w:sz w:val="22"/>
          <w:szCs w:val="22"/>
        </w:rPr>
        <w:t xml:space="preserve">Quarterly plans: Billed on the 1st of the first month of each quarter. 3-month commitment minimum.</w:t>
      </w:r>
    </w:p>
    <w:p>
      <w:pPr>
        <w:pStyle w:val="ListParagraph"/>
        <w:numPr>
          <w:ilvl w:val="0"/>
          <w:numId w:val="2"/>
        </w:numPr>
        <w:spacing w:after="80"/>
      </w:pPr>
      <w:r>
        <w:rPr>
          <w:rFonts w:ascii="Arial" w:cs="Arial" w:eastAsia="Arial" w:hAnsi="Arial"/>
          <w:sz w:val="22"/>
          <w:szCs w:val="22"/>
        </w:rPr>
        <w:t xml:space="preserve">Annual plans: Billed as a single payment on the anniversary of the Effective Date. 12-month commitment.</w:t>
      </w:r>
    </w:p>
    <w:p>
      <w:pPr>
        <w:spacing w:after="100"/>
      </w:pPr>
    </w:p>
    <w:p>
      <w:pPr>
        <w:pStyle w:val="Heading3"/>
      </w:pPr>
      <w:r>
        <w:rPr>
          <w:b/>
          <w:bCs/>
        </w:rPr>
        <w:t xml:space="preserve">Founding Partner 30-Day Trial</w:t>
      </w:r>
    </w:p>
    <w:p>
      <w:pPr>
        <w:spacing w:after="180"/>
      </w:pPr>
      <w:r>
        <w:rPr>
          <w:rFonts w:ascii="Arial" w:cs="Arial" w:eastAsia="Arial" w:hAnsi="Arial"/>
          <w:sz w:val="22"/>
          <w:szCs w:val="22"/>
        </w:rPr>
        <w:t xml:space="preserve">All founding partners receive a complimentary 30-day trial with full access to their selected tier. No credit card is charged during the trial. Billing begins on Day 31. If you cancel before Day 31, you owe nothing.</w:t>
      </w:r>
    </w:p>
    <w:p>
      <w:pPr>
        <w:pStyle w:val="Heading3"/>
      </w:pPr>
      <w:r>
        <w:rPr>
          <w:b/>
          <w:bCs/>
        </w:rPr>
        <w:t xml:space="preserve">Late Payment Policy</w:t>
      </w:r>
    </w:p>
    <w:p>
      <w:pPr>
        <w:pStyle w:val="ListParagraph"/>
        <w:numPr>
          <w:ilvl w:val="0"/>
          <w:numId w:val="2"/>
        </w:numPr>
        <w:spacing w:after="80"/>
      </w:pPr>
      <w:r>
        <w:rPr>
          <w:rFonts w:ascii="Arial" w:cs="Arial" w:eastAsia="Arial" w:hAnsi="Arial"/>
          <w:sz w:val="22"/>
          <w:szCs w:val="22"/>
        </w:rPr>
        <w:t xml:space="preserve">Grace period: 5 business days after the due date</w:t>
      </w:r>
    </w:p>
    <w:p>
      <w:pPr>
        <w:pStyle w:val="ListParagraph"/>
        <w:numPr>
          <w:ilvl w:val="0"/>
          <w:numId w:val="2"/>
        </w:numPr>
        <w:spacing w:after="80"/>
      </w:pPr>
      <w:r>
        <w:rPr>
          <w:rFonts w:ascii="Arial" w:cs="Arial" w:eastAsia="Arial" w:hAnsi="Arial"/>
          <w:sz w:val="22"/>
          <w:szCs w:val="22"/>
        </w:rPr>
        <w:t xml:space="preserve">Late fee: 1.5% per month on outstanding balances (assessed after grace period)</w:t>
      </w:r>
    </w:p>
    <w:p>
      <w:pPr>
        <w:pStyle w:val="ListParagraph"/>
        <w:numPr>
          <w:ilvl w:val="0"/>
          <w:numId w:val="2"/>
        </w:numPr>
        <w:spacing w:after="80"/>
      </w:pPr>
      <w:r>
        <w:rPr>
          <w:rFonts w:ascii="Arial" w:cs="Arial" w:eastAsia="Arial" w:hAnsi="Arial"/>
          <w:sz w:val="22"/>
          <w:szCs w:val="22"/>
        </w:rPr>
        <w:t xml:space="preserve">Service suspension: Advertising services may be suspended after 15 days of non-payment</w:t>
      </w:r>
    </w:p>
    <w:p>
      <w:pPr>
        <w:pStyle w:val="ListParagraph"/>
        <w:numPr>
          <w:ilvl w:val="0"/>
          <w:numId w:val="2"/>
        </w:numPr>
        <w:spacing w:after="80"/>
      </w:pPr>
      <w:r>
        <w:rPr>
          <w:rFonts w:ascii="Arial" w:cs="Arial" w:eastAsia="Arial" w:hAnsi="Arial"/>
          <w:sz w:val="22"/>
          <w:szCs w:val="22"/>
        </w:rPr>
        <w:t xml:space="preserve">Service termination: Accounts with balances outstanding 45+ days may be terminated</w:t>
      </w:r>
    </w:p>
    <w:p>
      <w:pPr>
        <w:pStyle w:val="ListParagraph"/>
        <w:numPr>
          <w:ilvl w:val="0"/>
          <w:numId w:val="2"/>
        </w:numPr>
        <w:spacing w:after="80"/>
      </w:pPr>
      <w:r>
        <w:rPr>
          <w:rFonts w:ascii="Arial" w:cs="Arial" w:eastAsia="Arial" w:hAnsi="Arial"/>
          <w:sz w:val="22"/>
          <w:szCs w:val="22"/>
        </w:rPr>
        <w:t xml:space="preserve">Reinstatement: Suspended accounts can be reinstated by paying the full outstanding balance plus a $50 reactivation fee</w:t>
      </w:r>
    </w:p>
    <w:p>
      <w:pPr>
        <w:spacing w:after="100"/>
      </w:pPr>
    </w:p>
    <w:p>
      <w:pPr>
        <w:pStyle w:val="Heading3"/>
      </w:pPr>
      <w:r>
        <w:rPr>
          <w:b/>
          <w:bCs/>
        </w:rPr>
        <w:t xml:space="preserve">Refund Policy</w:t>
      </w:r>
    </w:p>
    <w:p>
      <w:pPr>
        <w:pStyle w:val="ListParagraph"/>
        <w:numPr>
          <w:ilvl w:val="0"/>
          <w:numId w:val="2"/>
        </w:numPr>
        <w:spacing w:after="80"/>
      </w:pPr>
      <w:r>
        <w:rPr>
          <w:rFonts w:ascii="Arial" w:cs="Arial" w:eastAsia="Arial" w:hAnsi="Arial"/>
          <w:sz w:val="22"/>
          <w:szCs w:val="22"/>
        </w:rPr>
        <w:t xml:space="preserve">Monthly plans: No refunds for partial months. Service continues through the end of the paid period.</w:t>
      </w:r>
    </w:p>
    <w:p>
      <w:pPr>
        <w:pStyle w:val="ListParagraph"/>
        <w:numPr>
          <w:ilvl w:val="0"/>
          <w:numId w:val="2"/>
        </w:numPr>
        <w:spacing w:after="80"/>
      </w:pPr>
      <w:r>
        <w:rPr>
          <w:rFonts w:ascii="Arial" w:cs="Arial" w:eastAsia="Arial" w:hAnsi="Arial"/>
          <w:sz w:val="22"/>
          <w:szCs w:val="22"/>
        </w:rPr>
        <w:t xml:space="preserve">Quarterly plans: Pro-rated refund available within the first 30 days of a new quarter only.</w:t>
      </w:r>
    </w:p>
    <w:p>
      <w:pPr>
        <w:pStyle w:val="ListParagraph"/>
        <w:numPr>
          <w:ilvl w:val="0"/>
          <w:numId w:val="2"/>
        </w:numPr>
        <w:spacing w:after="80"/>
      </w:pPr>
      <w:r>
        <w:rPr>
          <w:rFonts w:ascii="Arial" w:cs="Arial" w:eastAsia="Arial" w:hAnsi="Arial"/>
          <w:sz w:val="22"/>
          <w:szCs w:val="22"/>
        </w:rPr>
        <w:t xml:space="preserve">Annual plans: Pro-rated refund available within the first 60 days of the annual term only.</w:t>
      </w:r>
    </w:p>
    <w:p>
      <w:pPr>
        <w:pStyle w:val="ListParagraph"/>
        <w:numPr>
          <w:ilvl w:val="0"/>
          <w:numId w:val="2"/>
        </w:numPr>
        <w:spacing w:after="80"/>
      </w:pPr>
      <w:r>
        <w:rPr>
          <w:rFonts w:ascii="Arial" w:cs="Arial" w:eastAsia="Arial" w:hAnsi="Arial"/>
          <w:sz w:val="22"/>
          <w:szCs w:val="22"/>
        </w:rPr>
        <w:t xml:space="preserve">Boost Credits: Non-refundable. Unused credits expire at the end of each billing cycle.</w:t>
      </w:r>
    </w:p>
    <w:p>
      <w:pPr>
        <w:pStyle w:val="ListParagraph"/>
        <w:numPr>
          <w:ilvl w:val="0"/>
          <w:numId w:val="2"/>
        </w:numPr>
        <w:spacing w:after="80"/>
      </w:pPr>
      <w:r>
        <w:rPr>
          <w:rFonts w:ascii="Arial" w:cs="Arial" w:eastAsia="Arial" w:hAnsi="Arial"/>
          <w:sz w:val="22"/>
          <w:szCs w:val="22"/>
        </w:rPr>
        <w:t xml:space="preserve">Founding trial: No charges to refund — simply cancel before Day 31.</w:t>
      </w:r>
    </w:p>
    <w:p>
      <w:pPr>
        <w:spacing w:after="100"/>
      </w:pPr>
    </w:p>
    <w:p>
      <w:pPr>
        <w:pStyle w:val="Heading3"/>
      </w:pPr>
      <w:r>
        <w:rPr>
          <w:b/>
          <w:bCs/>
        </w:rPr>
        <w:t xml:space="preserve">Tier Upgrades &amp; Downgrades</w:t>
      </w:r>
    </w:p>
    <w:p>
      <w:pPr>
        <w:pStyle w:val="ListParagraph"/>
        <w:numPr>
          <w:ilvl w:val="0"/>
          <w:numId w:val="2"/>
        </w:numPr>
        <w:spacing w:after="80"/>
      </w:pPr>
      <w:r>
        <w:rPr>
          <w:rFonts w:ascii="Arial" w:cs="Arial" w:eastAsia="Arial" w:hAnsi="Arial"/>
          <w:sz w:val="22"/>
          <w:szCs w:val="22"/>
        </w:rPr>
        <w:t xml:space="preserve">Upgrades: Take effect immediately. You pay the pro-rated difference for the remainder of your billing cycle.</w:t>
      </w:r>
    </w:p>
    <w:p>
      <w:pPr>
        <w:pStyle w:val="ListParagraph"/>
        <w:numPr>
          <w:ilvl w:val="0"/>
          <w:numId w:val="2"/>
        </w:numPr>
        <w:spacing w:after="80"/>
      </w:pPr>
      <w:r>
        <w:rPr>
          <w:rFonts w:ascii="Arial" w:cs="Arial" w:eastAsia="Arial" w:hAnsi="Arial"/>
          <w:sz w:val="22"/>
          <w:szCs w:val="22"/>
        </w:rPr>
        <w:t xml:space="preserve">Downgrades: Take effect at the start of the next billing cycle. No retroactive refunds.</w:t>
      </w:r>
    </w:p>
    <w:p>
      <w:pPr>
        <w:pStyle w:val="ListParagraph"/>
        <w:numPr>
          <w:ilvl w:val="0"/>
          <w:numId w:val="2"/>
        </w:numPr>
        <w:spacing w:after="80"/>
      </w:pPr>
      <w:r>
        <w:rPr>
          <w:rFonts w:ascii="Arial" w:cs="Arial" w:eastAsia="Arial" w:hAnsi="Arial"/>
          <w:sz w:val="22"/>
          <w:szCs w:val="22"/>
        </w:rPr>
        <w:t xml:space="preserve">Billing cycle changes: You can switch from monthly to quarterly or annual at any renewal date. Moving from annual to monthly takes effect after the current annual term.</w:t>
      </w:r>
    </w:p>
    <w:p>
      <w:r>
        <w:br w:type="page"/>
      </w:r>
    </w:p>
    <w:p>
      <w:pPr>
        <w:pStyle w:val="Heading1"/>
      </w:pPr>
      <w:r>
        <w:rPr>
          <w:b/>
          <w:bCs/>
        </w:rPr>
        <w:t xml:space="preserve">ROI Quick Calculator</w:t>
      </w:r>
    </w:p>
    <w:p>
      <w:pPr>
        <w:spacing w:after="180"/>
      </w:pPr>
      <w:r>
        <w:rPr>
          <w:rFonts w:ascii="Arial" w:cs="Arial" w:eastAsia="Arial" w:hAnsi="Arial"/>
          <w:sz w:val="22"/>
          <w:szCs w:val="22"/>
        </w:rPr>
        <w:t xml:space="preserve">Use this simple formula to see if Confetti advertising makes sense for your venue:</w:t>
      </w:r>
    </w:p>
    <w:p>
      <w:pPr>
        <w:spacing w:after="200" w:before="200"/>
        <w:jc w:val="center"/>
      </w:pPr>
      <w:r>
        <w:rPr>
          <w:rFonts w:ascii="Arial" w:cs="Arial" w:eastAsia="Arial" w:hAnsi="Arial"/>
          <w:b/>
          <w:bCs/>
          <w:color w:val="8B5CF6"/>
          <w:sz w:val="26"/>
          <w:szCs w:val="26"/>
        </w:rPr>
        <w:t xml:space="preserve">Monthly Plan Cost  ÷  Average Guest Ticket  =  Break-Even Guests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Your Tier</w:t>
            </w:r>
          </w:p>
        </w:tc>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Ticket $40</w:t>
            </w:r>
          </w:p>
        </w:tc>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Ticket $65</w:t>
            </w:r>
          </w:p>
        </w:tc>
        <w:tc>
          <w:tcPr>
            <w:tcW w:type="dxa" w:w="2520"/>
            <w:tcBorders>
              <w:top w:val="single" w:color="E0E0E0" w:sz="1"/>
              <w:left w:val="single" w:color="E0E0E0" w:sz="1"/>
              <w:bottom w:val="single" w:color="E0E0E0" w:sz="1"/>
              <w:right w:val="single" w:color="E0E0E0"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Ticket $100</w:t>
            </w:r>
          </w:p>
        </w:tc>
      </w:tr>
      <w:tr>
        <w:tc>
          <w:tcPr>
            <w:tcW w:type="dxa" w:w="252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Spotlight ($79)</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2 guests</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2 guests</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1 guest</w:t>
            </w:r>
          </w:p>
        </w:tc>
      </w:tr>
      <w:tr>
        <w:tc>
          <w:tcPr>
            <w:tcW w:type="dxa" w:w="252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Featured ($299)</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8 guests</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5 guests</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3 guests</w:t>
            </w:r>
          </w:p>
        </w:tc>
      </w:tr>
      <w:tr>
        <w:tc>
          <w:tcPr>
            <w:tcW w:type="dxa" w:w="2520"/>
            <w:tcBorders>
              <w:top w:val="single" w:color="E0E0E0" w:sz="1"/>
              <w:left w:val="single" w:color="E0E0E0" w:sz="1"/>
              <w:bottom w:val="single" w:color="E0E0E0" w:sz="1"/>
              <w:right w:val="single" w:color="E0E0E0" w:sz="1"/>
            </w:tcBorders>
            <w:shd w:fill="FAFAFA" w:val="clear"/>
            <w:tcMar>
              <w:top w:type="dxa" w:w="100"/>
              <w:left w:type="dxa" w:w="140"/>
              <w:bottom w:type="dxa" w:w="100"/>
              <w:right w:type="dxa" w:w="140"/>
            </w:tcMar>
          </w:tcPr>
          <w:p>
            <w:r>
              <w:rPr>
                <w:rFonts w:ascii="Arial" w:cs="Arial" w:eastAsia="Arial" w:hAnsi="Arial"/>
                <w:b/>
                <w:bCs/>
                <w:sz w:val="20"/>
                <w:szCs w:val="20"/>
              </w:rPr>
              <w:t xml:space="preserve">Premier ($999)</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25 guests</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16 guests</w:t>
            </w:r>
          </w:p>
        </w:tc>
        <w:tc>
          <w:tcPr>
            <w:tcW w:type="dxa" w:w="252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center"/>
            </w:pPr>
            <w:r>
              <w:rPr>
                <w:rFonts w:ascii="Arial" w:cs="Arial" w:eastAsia="Arial" w:hAnsi="Arial"/>
                <w:sz w:val="20"/>
                <w:szCs w:val="20"/>
              </w:rPr>
              <w:t xml:space="preserve">10 guests</w:t>
            </w:r>
          </w:p>
        </w:tc>
      </w:tr>
    </w:tbl>
    <w:p>
      <w:pPr>
        <w:spacing w:before="200"/>
      </w:pPr>
    </w:p>
    <w:p>
      <w:pPr>
        <w:spacing w:after="180"/>
      </w:pPr>
      <w:r>
        <w:rPr>
          <w:rFonts w:ascii="Arial" w:cs="Arial" w:eastAsia="Arial" w:hAnsi="Arial"/>
          <w:b/>
          <w:bCs/>
          <w:color w:val="8B5CF6"/>
          <w:sz w:val="22"/>
          <w:szCs w:val="22"/>
        </w:rPr>
        <w:t xml:space="preserve">The bottom line: </w:t>
      </w:r>
      <w:r>
        <w:rPr>
          <w:rFonts w:ascii="Arial" w:cs="Arial" w:eastAsia="Arial" w:hAnsi="Arial"/>
          <w:sz w:val="22"/>
          <w:szCs w:val="22"/>
        </w:rPr>
        <w:t xml:space="preserve">If Confetti sends even a handful of extra guests your way each month, the plan pays for itself. Everything beyond that is pure profit.</w:t>
      </w:r>
    </w:p>
    <w:p>
      <w:pPr>
        <w:pBdr>
          <w:top w:val="single" w:color="8B5CF6" w:sz="4" w:space="8"/>
          <w:bottom w:val="single" w:color="8B5CF6" w:sz="4" w:space="8"/>
        </w:pBdr>
        <w:spacing w:before="600"/>
        <w:jc w:val="center"/>
      </w:pPr>
    </w:p>
    <w:p>
      <w:pPr>
        <w:spacing w:before="200"/>
        <w:jc w:val="center"/>
      </w:pPr>
      <w:r>
        <w:rPr>
          <w:rFonts w:ascii="Arial" w:cs="Arial" w:eastAsia="Arial" w:hAnsi="Arial"/>
          <w:b/>
          <w:bCs/>
          <w:color w:val="1A1025"/>
          <w:sz w:val="28"/>
          <w:szCs w:val="28"/>
        </w:rPr>
        <w:t xml:space="preserve">Ready to get started?</w:t>
      </w:r>
    </w:p>
    <w:p>
      <w:pPr>
        <w:jc w:val="center"/>
      </w:pPr>
      <w:r>
        <w:rPr>
          <w:rFonts w:ascii="Arial" w:cs="Arial" w:eastAsia="Arial" w:hAnsi="Arial"/>
          <w:color w:val="333333"/>
          <w:sz w:val="22"/>
          <w:szCs w:val="22"/>
        </w:rPr>
        <w:t xml:space="preserve">Contact: Tyrone Crossland  |  heritagepowergroup@gmail.com</w:t>
      </w:r>
    </w:p>
    <w:p>
      <w:pPr>
        <w:spacing w:after="200"/>
        <w:jc w:val="center"/>
      </w:pPr>
      <w:r>
        <w:rPr>
          <w:rFonts w:ascii="Arial" w:cs="Arial" w:eastAsia="Arial" w:hAnsi="Arial"/>
          <w:i/>
          <w:iCs/>
          <w:color w:val="8B5CF6"/>
          <w:sz w:val="22"/>
          <w:szCs w:val="22"/>
        </w:rPr>
        <w:t xml:space="preserve">Your City. Your Night. Your Way.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Confetti Payment Plans  |  heritagepowergroup@gmail.com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8B5CF6"/>
        <w:sz w:val="20"/>
        <w:szCs w:val="20"/>
      </w:rPr>
      <w:t xml:space="preserve">CONFETTI</w:t>
    </w:r>
    <w:r>
      <w:rPr>
        <w:rFonts w:ascii="Arial" w:cs="Arial" w:eastAsia="Arial" w:hAnsi="Arial"/>
        <w:color w:val="999999"/>
        <w:sz w:val="18"/>
        <w:szCs w:val="18"/>
      </w:rPr>
      <w:t xml:space="preserve">  |  Payment Plans &amp; Billing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025"/>
      <w:sz w:val="36"/>
      <w:szCs w:val="36"/>
    </w:rPr>
  </w:style>
  <w:style w:type="paragraph" w:styleId="Heading2">
    <w:name w:val="Heading 2"/>
    <w:basedOn w:val="Normal"/>
    <w:next w:val="Normal"/>
    <w:qFormat/>
    <w:pPr>
      <w:spacing w:after="200" w:before="200"/>
      <w:outlineLvl w:val="1"/>
    </w:pPr>
    <w:rPr>
      <w:rFonts w:ascii="Arial" w:cs="Arial" w:eastAsia="Arial" w:hAnsi="Arial"/>
      <w:b/>
      <w:bCs/>
      <w:color w:val="8B5CF6"/>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2026-05-11T06:00:13.364Z</dcterms:created>
  <dcterms:modified xsi:type="dcterms:W3CDTF">2026-05-11T06:00:13.364Z</dcterms:modified>
</cp:coreProperties>
</file>

<file path=docProps/custom.xml><?xml version="1.0" encoding="utf-8"?>
<Properties xmlns="http://schemas.openxmlformats.org/officeDocument/2006/custom-properties" xmlns:vt="http://schemas.openxmlformats.org/officeDocument/2006/docPropsVTypes"/>
</file>