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bCs/>
          <w:b/>
          <w:sz w:val="36"/>
        </w:rPr>
        <w:t xml:space="preserve">MedLift-3D: Click-to-3D Lung Nodule Mass and Growth Assessment from Low-Dose Chest Tomosynthesis with Calibrated Uncertainty</w:t>
      </w:r>
    </w:p>
    <w:p>
      <w:pPr>
        <w:pStyle w:val="BodyText"/>
        <w:jc w:val="center"/>
      </w:pPr>
      <w:r>
        <w:t xml:space="preserve">By</w:t>
      </w:r>
    </w:p>
    <w:p>
      <w:pPr>
        <w:pStyle w:val="BodyText"/>
        <w:jc w:val="center"/>
      </w:pPr>
      <w:r>
        <w:t xml:space="preserve">Jubair Ahmed (011222136)</w:t>
      </w:r>
    </w:p>
    <w:p>
      <w:pPr>
        <w:pStyle w:val="BodyText"/>
        <w:jc w:val="center"/>
      </w:pPr>
      <w:r>
        <w:t xml:space="preserve">Foyez Ahammed Naeem (011222011)</w:t>
      </w:r>
    </w:p>
    <w:p>
      <w:pPr>
        <w:pStyle w:val="BodyText"/>
        <w:jc w:val="center"/>
      </w:pPr>
      <w:r>
        <w:t xml:space="preserve">Md Motasim Billah (011222016)</w:t>
      </w:r>
    </w:p>
    <w:p>
      <w:pPr>
        <w:pStyle w:val="BodyText"/>
        <w:jc w:val="center"/>
      </w:pPr>
      <w:r>
        <w:t xml:space="preserve">Submitted in partial fulfilment of the requirements of the degree of Bachelor of Science in Computer Science and Engineering</w:t>
      </w:r>
    </w:p>
    <w:p>
      <w:pPr>
        <w:pStyle w:val="BodyText"/>
        <w:jc w:val="center"/>
      </w:pPr>
      <w:r>
        <w:t xml:space="preserve">October 30, 2026</w:t>
      </w:r>
    </w:p>
    <w:p>
      <w:pPr>
        <w:pStyle w:val="BodyText"/>
        <w:jc w:val="center"/>
      </w:pPr>
      <w:r>
        <w:t xml:space="preserve">Department of Computer Science and Engineering</w:t>
      </w:r>
    </w:p>
    <w:p>
      <w:pPr>
        <w:pStyle w:val="BodyText"/>
        <w:jc w:val="center"/>
      </w:pPr>
      <w:r>
        <w:t xml:space="preserve">United International University</w:t>
      </w:r>
    </w:p>
    <w:bookmarkStart w:id="20" w:name="abstract"/>
    <w:p>
      <w:pPr>
        <w:pStyle w:val="Heading1"/>
        <w:jc w:val="center"/>
      </w:pPr>
      <w:r>
        <w:t xml:space="preserve">Abstract</w:t>
      </w:r>
    </w:p>
    <w:p>
      <w:pPr>
        <w:pStyle w:val="FirstParagraph"/>
        <w:jc w:val="center"/>
      </w:pPr>
      <w:r>
        <w:t xml:space="preserve">Lung nodules are followed up by measuring how fast they grow, but computed tomography (CT), the standard tool, gives the patient a radiation dose and a cost at every follow-up, while low-dose digital chest tomosynthesis (DTS) cannot resolve depth because its 30° sweep leaves a</w:t>
      </w:r>
      <w:r>
        <w:t xml:space="preserve"> </w:t>
      </w:r>
      <w:r>
        <w:t xml:space="preserve">“</w:t>
      </w:r>
      <w:r>
        <w:t xml:space="preserve">missing wedge</w:t>
      </w:r>
      <w:r>
        <w:t xml:space="preserve">”</w:t>
      </w:r>
      <w:r>
        <w:t xml:space="preserve"> </w:t>
      </w:r>
      <w:r>
        <w:t xml:space="preserve">of unmeasured information. MedLift-3D is a click-to-3D system that turns one click on a DTS slice into a 3D nodule measurement with a calibrated uncertainty. We first show from projection moments that every DTS view measures a nodule’s mass exactly, while its depth extent, which volume needs, is about 15 times worse conditioned; mass and mass doubling time are therefore the measurements DTS can support. The pipeline simulates low-dose 15-view DTS for 583 LIDC-IDRI patients (1,144 radiologist-annotated nodules), reconstructs a 64 mm prism through the chest around the click, fills the missing wedge with a 17.4-million-parameter conditional 3D diffusion model kept consistent with the X-rays, represents the nodule with 3D Gaussians that give its mass in closed form, and wraps every number in conformal prediction intervals and calibrated size-category probabilities. A learned 3D detector suggests where to click, and a seen/unseen (null-space) analysis explains which part of each measurement comes from the X-rays and which from the learned prior. The system components worked as specified: the diffusion prior raised nodule-region PSNR on held-out data from 11.88 dB to 15.23 dB, the detector reached a CPM of 0.298 against 0.017 for a training-free baseline, conformal intervals reached 95% coverage on 74 test nodules, and calibrated category probabilities lowered the Brier score for a volume of at least 100 mm³ from 0.54 to 0.17. The null-space analysis confirmed that the X-rays measure almost all of a nodule’s mass (0.3% unseen) and that the prior’s unseen content correlates with the truth (skill 0.22). The measurements, however, did not reach the goal: mass was not more accurate than volume, the full method’s volume error (MdAPE 94.6%) was not lower than physics-only reconstruction (87.7–91.2%), and the valid intervals were too wide to be useful. We trace these failures to a prior that shrinks faint nodules, to measuring mass in image space rather than from the projections, and to failed measurements inside the calibration set, and show that better image quality did not imply better measurement. The full study ran on one rented GPU in 15 hours for about US$20, and an interactive demo runs on a free Kaggle notebook.</w:t>
      </w:r>
    </w:p>
    <w:p>
      <w:pPr>
        <w:pStyle w:val="BodyText"/>
        <w:jc w:val="center"/>
      </w:pPr>
      <w:r>
        <w:rPr>
          <w:bCs/>
          <w:b/>
        </w:rPr>
        <w:t xml:space="preserve">Keywords:</w:t>
      </w:r>
      <w:r>
        <w:t xml:space="preserve"> </w:t>
      </w:r>
      <w:r>
        <w:t xml:space="preserve">digital tomosynthesis, lung nodule volumetry, diffusion models, 3D Gaussians, conformal prediction, explainable AI</w:t>
      </w:r>
    </w:p>
    <w:bookmarkEnd w:id="20"/>
    <w:bookmarkStart w:id="21" w:name="acknowledgements"/>
    <w:p>
      <w:pPr>
        <w:pStyle w:val="Heading1"/>
        <w:jc w:val="center"/>
      </w:pPr>
      <w:r>
        <w:t xml:space="preserve">Acknowledgements</w:t>
      </w:r>
    </w:p>
    <w:p>
      <w:pPr>
        <w:pStyle w:val="FirstParagraph"/>
        <w:jc w:val="center"/>
      </w:pPr>
      <w:r>
        <w:t xml:space="preserve">This work would not have been possible without the input and support of many people. We would like to express our gratitude to everyone who contributed to it in some way or other.</w:t>
      </w:r>
    </w:p>
    <w:p>
      <w:pPr>
        <w:pStyle w:val="BodyText"/>
      </w:pPr>
      <w:r>
        <w:t xml:space="preserve">First, we would like to thank our course teacher, Dr. A.K.M. Muzahidul Islam, Professor, Dept. of CSE, for his guidance on the design project process and its standards.</w:t>
      </w:r>
    </w:p>
    <w:p>
      <w:pPr>
        <w:pStyle w:val="BodyText"/>
      </w:pPr>
      <w:r>
        <w:t xml:space="preserve">Our sincere gratitude goes to our supervisor, Mir Moynuddin Ahmed Shibly, Assistant Professor (On Leave), Dept. of CSE, for his advice on the research direction and for encouraging us to narrow the design to what could be measured and verified.</w:t>
      </w:r>
    </w:p>
    <w:p>
      <w:pPr>
        <w:pStyle w:val="BodyText"/>
      </w:pPr>
      <w:r>
        <w:t xml:space="preserve">We are also thankful to The Cancer Imaging Archive (TCIA) and the LIDC-IDRI consortium for making their annotated CT collection public, and to the authors of the open-source libraries we used (PyTorch, pylidc, crepes, Gradio).</w:t>
      </w:r>
    </w:p>
    <w:p>
      <w:pPr>
        <w:pStyle w:val="BodyText"/>
      </w:pPr>
      <w:r>
        <w:t xml:space="preserve">Last but not the least, we owe to our family including our parents for their unconditional love and immense emotional support.</w:t>
      </w:r>
    </w:p>
    <w:p>
      <w:pPr>
        <w:pStyle w:val="Heading1"/>
      </w:pPr>
      <w:r>
        <w:t>Table of Contents</w:t>
      </w:r>
    </w:p>
    <w:p>
      <w:pPr>
        <w:pStyle w:val="BodyText"/>
      </w:pPr>
      <w:r/>
      <w:r>
        <w:fldChar w:fldCharType="begin"/>
        <w:instrText xml:space="preserve">TOC \o "1-3" \h \z \u</w:instrText>
        <w:fldChar w:fldCharType="separate"/>
        <w:t>Right-click and choose Update Field to build the table of contents.</w:t>
        <w:fldChar w:fldCharType="end"/>
      </w:r>
    </w:p>
    <w:bookmarkEnd w:id="21"/>
    <w:bookmarkStart w:id="39" w:name="chapter-1-introduction"/>
    <w:p>
      <w:pPr>
        <w:pStyle w:val="Heading1"/>
      </w:pPr>
      <w:r>
        <w:t xml:space="preserve">Chapter 1: Introduction</w:t>
      </w:r>
    </w:p>
    <w:p>
      <w:pPr>
        <w:pStyle w:val="FirstParagraph"/>
      </w:pPr>
      <w:r>
        <w:t xml:space="preserve">This chapter states the clinical problem that MedLift-3D solves and why it matters. It then lists the objectives as testable hypotheses, summarises the method and its outcomes, and outlines the rest of the report.</w:t>
      </w:r>
    </w:p>
    <w:bookmarkStart w:id="25" w:name="project-overview"/>
    <w:p>
      <w:pPr>
        <w:pStyle w:val="Heading2"/>
      </w:pPr>
      <w:r>
        <w:t xml:space="preserve">1.1 Project Overview</w:t>
      </w:r>
    </w:p>
    <w:p>
      <w:pPr>
        <w:pStyle w:val="FirstParagraph"/>
      </w:pPr>
      <w:r>
        <w:t xml:space="preserve">Lung cancer is the leading cause of cancer death worldwide, with about 2.5 million new cases (12.4% of all cancers) and 1.8 million deaths (18.7% of cancer deaths) in 2022 [1]. Survival depends strongly on the stage at diagnosis: five-year survival is 70–90% for stage I non-small cell lung cancer but only 15–19% for stage IV [2]. Early lung cancer usually appears as a pulmonary nodule, yet most nodules are benign. Radiologists therefore decide by following a nodule over months and measuring how fast it grows, usually as a volume doubling time (VDT) [3, 4].</w:t>
      </w:r>
    </w:p>
    <w:p>
      <w:pPr>
        <w:pStyle w:val="BodyText"/>
      </w:pPr>
      <w:r>
        <w:t xml:space="preserve">Computed tomography (CT) is the standard tool for this follow-up, but every scan gives the patient a radiation dose of several millisieverts and costs money and scanner time [5]. Low-dose CT lowers the dose, yet repeated follow-up still adds up: about four radiation-induced cancers per 10,000 screened people, most of it from the follow-up scans [6]. In low-resource settings such as rural Bangladesh, CT is often not available at all.</w:t>
      </w:r>
    </w:p>
    <w:p>
      <w:pPr>
        <w:pStyle w:val="BodyText"/>
      </w:pPr>
      <w:r>
        <w:t xml:space="preserve">Digital chest tomosynthesis (DTS) acquires 15–74 low-dose X-ray views during a short tube sweep of about 30°, at roughly 0.1 mSv, on equipment that costs far less than CT [7]. It finds nodules about three times more often than chest radiography [8]. However, a 30° sweep leaves a</w:t>
      </w:r>
      <w:r>
        <w:t xml:space="preserve"> </w:t>
      </w:r>
      <w:r>
        <w:rPr>
          <w:iCs/>
          <w:i/>
        </w:rPr>
        <w:t xml:space="preserve">missing wedge</w:t>
      </w:r>
      <w:r>
        <w:t xml:space="preserve"> </w:t>
      </w:r>
      <w:r>
        <w:t xml:space="preserve">of directions that no X-ray passes through (Figure 1.1), so DTS cannot resolve depth and every 3D size measured from it is partly a guess.</w:t>
      </w:r>
    </w:p>
    <w:p>
      <w:pPr>
        <w:pStyle w:val="BodyText"/>
      </w:pPr>
      <w:r>
        <w:rPr>
          <w:bCs/>
          <w:b/>
        </w:rPr>
        <w:t xml:space="preserve">Problem statement.</w:t>
      </w:r>
      <w:r>
        <w:t xml:space="preserve"> </w:t>
      </w:r>
      <w:r>
        <w:t xml:space="preserve">Given a low-dose chest DTS acquisition and one click on a nodule, produce its 3D mass, volume and growth rate together with an uncertainty that is honest, so that a clinician can follow nodules without repeated CT and knows when a measurement cannot be trusted.</w:t>
      </w:r>
    </w:p>
    <w:p>
      <w:pPr>
        <w:pStyle w:val="BodyText"/>
        <w:jc w:val="center"/>
      </w:pPr>
      <w:r>
        <w:drawing>
          <wp:inline>
            <wp:extent cx="5334000" cy="2648248"/>
            <wp:effectExtent b="0" l="0" r="0" t="0"/>
            <wp:docPr descr="image" title="" id="23" name="Picture"/>
            <a:graphic>
              <a:graphicData uri="http://schemas.openxmlformats.org/drawingml/2006/picture">
                <pic:pic>
                  <pic:nvPicPr>
                    <pic:cNvPr descr="/home/user/medlift3d/report/docx_build/figs/fig_dts_geometry.png" id="24" name="Picture"/>
                    <pic:cNvPicPr>
                      <a:picLocks noChangeArrowheads="1" noChangeAspect="1"/>
                    </pic:cNvPicPr>
                  </pic:nvPicPr>
                  <pic:blipFill>
                    <a:blip r:embed="rId22"/>
                    <a:stretch>
                      <a:fillRect/>
                    </a:stretch>
                  </pic:blipFill>
                  <pic:spPr bwMode="auto">
                    <a:xfrm>
                      <a:off x="0" y="0"/>
                      <a:ext cx="5334000" cy="2648248"/>
                    </a:xfrm>
                    <a:prstGeom prst="rect">
                      <a:avLst/>
                    </a:prstGeom>
                    <a:noFill/>
                    <a:ln w="9525">
                      <a:noFill/>
                      <a:headEnd/>
                      <a:tailEnd/>
                    </a:ln>
                  </pic:spPr>
                </pic:pic>
              </a:graphicData>
            </a:graphic>
          </wp:inline>
        </w:drawing>
      </w:r>
    </w:p>
    <w:p>
      <w:pPr>
        <w:pStyle w:val="BodyText"/>
        <w:jc w:val="center"/>
      </w:pPr>
      <w:r>
        <w:rPr>
          <w:bCs/>
          <w:b/>
          <w:iCs/>
          <w:i/>
          <w:sz w:val="20"/>
        </w:rPr>
        <w:t xml:space="preserve">Figure 1.1:</w:t>
      </w:r>
      <w:r>
        <w:rPr>
          <w:iCs/>
          <w:i/>
          <w:sz w:val="20"/>
        </w:rPr>
        <w:t xml:space="preserve"> </w:t>
      </w:r>
      <w:r>
        <w:rPr>
          <w:iCs/>
          <w:i/>
          <w:sz w:val="20"/>
        </w:rPr>
        <w:t xml:space="preserve">Chest DTS acquisition. (a) The X-ray tube moves along a linear track over</w:t>
      </w:r>
      <w:r>
        <w:rPr>
          <w:iCs/>
          <w:i/>
          <w:sz w:val="20"/>
        </w:rPr>
        <w:t xml:space="preserve"> </w:t>
      </w:r>
      <m:oMath>
        <m:r>
          <m:rPr>
            <m:sty m:val="p"/>
          </m:rPr>
          <m:t>±</m:t>
        </m:r>
        <m:sSup>
          <m:e>
            <m:r>
              <m:t>15</m:t>
            </m:r>
          </m:e>
          <m:sup>
            <m:r>
              <m:rPr>
                <m:sty m:val="p"/>
              </m:rPr>
              <m:t>∘</m:t>
            </m:r>
          </m:sup>
        </m:sSup>
      </m:oMath>
      <w:r>
        <w:rPr>
          <w:iCs/>
          <w:i/>
          <w:sz w:val="20"/>
        </w:rPr>
        <w:t xml:space="preserve"> </w:t>
      </w:r>
      <w:r>
        <w:rPr>
          <w:iCs/>
          <w:i/>
          <w:sz w:val="20"/>
        </w:rPr>
        <w:t xml:space="preserve">and the nodule’s shadow shifts on the detector with the tube angle; this shift is the only depth information. (b) In Fourier space each view measures one plane, so a</w:t>
      </w:r>
      <w:r>
        <w:rPr>
          <w:iCs/>
          <w:i/>
          <w:sz w:val="20"/>
        </w:rPr>
        <w:t xml:space="preserve"> </w:t>
      </w:r>
      <m:oMath>
        <m:r>
          <m:rPr>
            <m:sty m:val="p"/>
          </m:rPr>
          <m:t>±</m:t>
        </m:r>
        <m:sSup>
          <m:e>
            <m:r>
              <m:t>15</m:t>
            </m:r>
          </m:e>
          <m:sup>
            <m:r>
              <m:rPr>
                <m:sty m:val="p"/>
              </m:rPr>
              <m:t>∘</m:t>
            </m:r>
          </m:sup>
        </m:sSup>
      </m:oMath>
      <w:r>
        <w:rPr>
          <w:iCs/>
          <w:i/>
          <w:sz w:val="20"/>
        </w:rPr>
        <w:t xml:space="preserve"> </w:t>
      </w:r>
      <w:r>
        <w:rPr>
          <w:iCs/>
          <w:i/>
          <w:sz w:val="20"/>
        </w:rPr>
        <w:t xml:space="preserve">sweep measures only a double wedge around the in-plane axis and leaves the depth frequencies unmeasured.</w:t>
      </w:r>
    </w:p>
    <w:bookmarkEnd w:id="25"/>
    <w:bookmarkStart w:id="31" w:name="motivation"/>
    <w:p>
      <w:pPr>
        <w:pStyle w:val="Heading2"/>
      </w:pPr>
      <w:r>
        <w:t xml:space="preserve">1.2 Motivation</w:t>
      </w:r>
    </w:p>
    <w:p>
      <w:pPr>
        <w:pStyle w:val="FirstParagraph"/>
      </w:pPr>
      <w:r>
        <w:t xml:space="preserve">Four observations motivate this project: nodules must be followed over time, 2D measurement of their size is unreliable, CT follow-up costs radiation and access, and existing reconstruction methods cannot give trustworthy numbers from DTS. A fifth, computational observation shapes the approach we take.</w:t>
      </w:r>
    </w:p>
    <w:bookmarkStart w:id="26" w:name="clinical-importance-of-nodule-follow-up"/>
    <w:p>
      <w:pPr>
        <w:pStyle w:val="Heading3"/>
      </w:pPr>
      <w:r>
        <w:t xml:space="preserve">1.2.1 Clinical Importance of Nodule Follow-up</w:t>
      </w:r>
    </w:p>
    <w:p>
      <w:pPr>
        <w:pStyle w:val="FirstParagraph"/>
      </w:pPr>
      <w:r>
        <w:t xml:space="preserve">Five-year survival falls from 64% for localised lung cancer to 9% for distant disease [9, 10]. Growth is the key sign separating malignant from benign nodules, and guidelines act on volume and doubling-time categories:</w:t>
      </w:r>
      <w:r>
        <w:t xml:space="preserve"> </w:t>
      </w:r>
      <m:oMath>
        <m:r>
          <m:rPr>
            <m:sty m:val="p"/>
          </m:rPr>
          <m:t>&lt;</m:t>
        </m:r>
        <m:r>
          <m:t>100</m:t>
        </m:r>
      </m:oMath>
      <w:r>
        <w:t xml:space="preserve">, 100–300 and</w:t>
      </w:r>
      <w:r>
        <w:t xml:space="preserve"> </w:t>
      </w:r>
      <m:oMath>
        <m:r>
          <m:rPr>
            <m:sty m:val="p"/>
          </m:rPr>
          <m:t>≥</m:t>
        </m:r>
        <m:r>
          <m:t>300</m:t>
        </m:r>
      </m:oMath>
      <w:r>
        <w:t xml:space="preserve"> mm</w:t>
      </w:r>
      <m:oMath>
        <m:sSup>
          <m:e>
            <m:r>
              <m:t>​</m:t>
            </m:r>
          </m:e>
          <m:sup>
            <m:r>
              <m:t>3</m:t>
            </m:r>
          </m:sup>
        </m:sSup>
      </m:oMath>
      <w:r>
        <w:t xml:space="preserve">, and</w:t>
      </w:r>
      <w:r>
        <w:t xml:space="preserve"> </w:t>
      </w:r>
      <m:oMath>
        <m:r>
          <m:rPr>
            <m:sty m:val="p"/>
          </m:rPr>
          <m:t>&lt;</m:t>
        </m:r>
        <m:r>
          <m:t>400</m:t>
        </m:r>
      </m:oMath>
      <w:r>
        <w:t xml:space="preserve">, 400–600 and</w:t>
      </w:r>
      <w:r>
        <w:t xml:space="preserve"> </w:t>
      </w:r>
      <m:oMath>
        <m:r>
          <m:rPr>
            <m:sty m:val="p"/>
          </m:rPr>
          <m:t>&gt;</m:t>
        </m:r>
        <m:r>
          <m:t>600</m:t>
        </m:r>
      </m:oMath>
      <w:r>
        <w:t xml:space="preserve"> </w:t>
      </w:r>
      <w:r>
        <w:t xml:space="preserve">days [4, 11].</w:t>
      </w:r>
    </w:p>
    <w:bookmarkEnd w:id="26"/>
    <w:bookmarkStart w:id="27" w:name="limits-of-2d-measurement"/>
    <w:p>
      <w:pPr>
        <w:pStyle w:val="Heading3"/>
      </w:pPr>
      <w:r>
        <w:t xml:space="preserve">1.2.2 Limits of 2D Measurement</w:t>
      </w:r>
    </w:p>
    <w:p>
      <w:pPr>
        <w:pStyle w:val="FirstParagraph"/>
      </w:pPr>
      <w:r>
        <w:t xml:space="preserve">Diameters measured on single slices assume a sphere. Volumes estimated from 2D measurements differ from 3D volumetry by 47–85% on average [12], 2D measurements of small nodules are unreliable [13], and a 1 mm change in diameter is a 33% change in volume [14]. Measurement error larger than the true growth delays treatment.</w:t>
      </w:r>
    </w:p>
    <w:bookmarkEnd w:id="27"/>
    <w:bookmarkStart w:id="28" w:name="radiation-and-access"/>
    <w:p>
      <w:pPr>
        <w:pStyle w:val="Heading3"/>
      </w:pPr>
      <w:r>
        <w:t xml:space="preserve">1.2.3 Radiation and Access</w:t>
      </w:r>
    </w:p>
    <w:p>
      <w:pPr>
        <w:pStyle w:val="FirstParagraph"/>
      </w:pPr>
      <w:r>
        <w:t xml:space="preserve">CT follow-up means repeated dose and requires well-equipped centres [5, 15]. In Bangladesh, CT scanners are concentrated in divisional cities and large hospitals, so many patients travel long distances and pay for every follow-up scan, while digital radiography rooms, which can be upgraded to tomosynthesis, are far more widespread. DTS is cheaper, faster and much lower in dose than CT, but today it offers no trustworthy 3D measurement, so a nodule found on DTS is still sent to CT for every follow-up.</w:t>
      </w:r>
    </w:p>
    <w:bookmarkEnd w:id="28"/>
    <w:bookmarkStart w:id="29" w:name="Xed46c023631bfdf596ac6a871995e6dbc77a614"/>
    <w:p>
      <w:pPr>
        <w:pStyle w:val="Heading3"/>
      </w:pPr>
      <w:r>
        <w:t xml:space="preserve">1.2.4 Why Existing Reconstruction and AI Are Not Enough</w:t>
      </w:r>
    </w:p>
    <w:p>
      <w:pPr>
        <w:pStyle w:val="FirstParagraph"/>
      </w:pPr>
      <w:r>
        <w:t xml:space="preserve">Iterative reconstruction from a 30° sweep smears each nodule 3–5 times longer in depth than in-plane (we measured a median ratio of 3.5 on LIDC nodules). Generative models can fill the missing wedge, but a model that invents anatomy is dangerous for cancer follow-up [16, 17]. Published sparse-view methods report image quality (PSNR, SSIM) rather than calibrated clinical numbers, and none is built for DTS geometry.</w:t>
      </w:r>
    </w:p>
    <w:bookmarkEnd w:id="29"/>
    <w:bookmarkStart w:id="30" w:name="computational-motivation"/>
    <w:p>
      <w:pPr>
        <w:pStyle w:val="Heading3"/>
      </w:pPr>
      <w:r>
        <w:t xml:space="preserve">1.2.5 Computational Motivation</w:t>
      </w:r>
    </w:p>
    <w:p>
      <w:pPr>
        <w:pStyle w:val="FirstParagraph"/>
      </w:pPr>
      <w:r>
        <w:t xml:space="preserve">We asked what DTS can</w:t>
      </w:r>
      <w:r>
        <w:t xml:space="preserve"> </w:t>
      </w:r>
      <w:r>
        <w:rPr>
          <w:iCs/>
          <w:i/>
        </w:rPr>
        <w:t xml:space="preserve">measure</w:t>
      </w:r>
      <w:r>
        <w:t xml:space="preserve">, not only what it can show. A derivation from projection moments (Section 3.2) shows that every DTS view measures a nodule’s total excess attenuation, its</w:t>
      </w:r>
      <w:r>
        <w:t xml:space="preserve"> </w:t>
      </w:r>
      <w:r>
        <w:rPr>
          <w:iCs/>
          <w:i/>
        </w:rPr>
        <w:t xml:space="preserve">mass</w:t>
      </w:r>
      <w:r>
        <w:t xml:space="preserve">, exactly, while its depth extent, which volume needs, is about 15 times worse conditioned for a</w:t>
      </w:r>
      <w:r>
        <w:t xml:space="preserve"> </w:t>
      </w:r>
      <m:oMath>
        <m:r>
          <m:rPr>
            <m:sty m:val="p"/>
          </m:rPr>
          <m:t>±</m:t>
        </m:r>
        <m:sSup>
          <m:e>
            <m:r>
              <m:t>15</m:t>
            </m:r>
          </m:e>
          <m:sup>
            <m:r>
              <m:rPr>
                <m:sty m:val="p"/>
              </m:rPr>
              <m:t>∘</m:t>
            </m:r>
          </m:sup>
        </m:sSup>
      </m:oMath>
      <w:r>
        <w:t xml:space="preserve"> </w:t>
      </w:r>
      <w:r>
        <w:t xml:space="preserve">sweep. A system for DTS should therefore report mass first, fill depth with a learned prior that stays consistent with the X-rays, and state how uncertain each number is. Mass growth is already an established CT biomarker that detects growth earlier than volume [18].</w:t>
      </w:r>
    </w:p>
    <w:bookmarkEnd w:id="30"/>
    <w:bookmarkEnd w:id="31"/>
    <w:bookmarkStart w:id="32" w:name="objectives"/>
    <w:p>
      <w:pPr>
        <w:pStyle w:val="Heading2"/>
      </w:pPr>
      <w:r>
        <w:t xml:space="preserve">1.3 Objectives</w:t>
      </w:r>
    </w:p>
    <w:p>
      <w:pPr>
        <w:pStyle w:val="FirstParagraph"/>
      </w:pPr>
      <w:r>
        <w:t xml:space="preserve">The objectives are stated as testable hypotheses (H1–H6); any of them could turn out false, and Chapter 4 reports what we found.</w:t>
      </w:r>
    </w:p>
    <w:p>
      <w:pPr>
        <w:numPr>
          <w:ilvl w:val="0"/>
          <w:numId w:val="1001"/>
        </w:numPr>
      </w:pPr>
      <w:r>
        <w:rPr>
          <w:bCs/>
          <w:b/>
        </w:rPr>
        <w:t xml:space="preserve">Mass-first measurement (H1).</w:t>
      </w:r>
      <w:r>
        <w:t xml:space="preserve"> </w:t>
      </w:r>
      <w:r>
        <w:t xml:space="preserve">Show, in theory and on data, that nodule mass from DTS has a smaller error than nodule volume.</w:t>
      </w:r>
    </w:p>
    <w:p>
      <w:pPr>
        <w:numPr>
          <w:ilvl w:val="0"/>
          <w:numId w:val="1001"/>
        </w:numPr>
      </w:pPr>
      <w:r>
        <w:rPr>
          <w:bCs/>
          <w:b/>
        </w:rPr>
        <w:t xml:space="preserve">Learned prior for the missing wedge (H2).</w:t>
      </w:r>
      <w:r>
        <w:t xml:space="preserve"> </w:t>
      </w:r>
      <w:r>
        <w:t xml:space="preserve">Train a conditional 3D diffusion model that, combined with physics data consistency and 3D Gaussians, reduces volume error compared with physics-only reconstruction.</w:t>
      </w:r>
    </w:p>
    <w:p>
      <w:pPr>
        <w:numPr>
          <w:ilvl w:val="0"/>
          <w:numId w:val="1001"/>
        </w:numPr>
      </w:pPr>
      <w:r>
        <w:rPr>
          <w:bCs/>
          <w:b/>
        </w:rPr>
        <w:t xml:space="preserve">Calibrated uncertainty (H3, H5).</w:t>
      </w:r>
      <w:r>
        <w:t xml:space="preserve"> </w:t>
      </w:r>
      <w:r>
        <w:t xml:space="preserve">Give every mass and volume a conformal 90% prediction interval that reaches its nominal coverage on held-out patients, and give calibrated probabilities of the clinical size categories with coverage in every size group.</w:t>
      </w:r>
    </w:p>
    <w:p>
      <w:pPr>
        <w:numPr>
          <w:ilvl w:val="0"/>
          <w:numId w:val="1001"/>
        </w:numPr>
      </w:pPr>
      <w:r>
        <w:rPr>
          <w:bCs/>
          <w:b/>
        </w:rPr>
        <w:t xml:space="preserve">Growth (H4).</w:t>
      </w:r>
      <w:r>
        <w:t xml:space="preserve"> </w:t>
      </w:r>
      <w:r>
        <w:t xml:space="preserve">Measure growth on virtual follow-up scans and test whether mass doubling time (MDT) classifies growth more accurately than VDT.</w:t>
      </w:r>
    </w:p>
    <w:p>
      <w:pPr>
        <w:numPr>
          <w:ilvl w:val="0"/>
          <w:numId w:val="1001"/>
        </w:numPr>
      </w:pPr>
      <w:r>
        <w:rPr>
          <w:bCs/>
          <w:b/>
        </w:rPr>
        <w:t xml:space="preserve">Explainability (H6).</w:t>
      </w:r>
      <w:r>
        <w:t xml:space="preserve"> </w:t>
      </w:r>
      <w:r>
        <w:t xml:space="preserve">Show for each nodule which part of the 3D result was measured by the X-rays (seen) and which was supplied by the prior (unseen), and test whether the prior’s unseen content recovers the truth rather than inventing it.</w:t>
      </w:r>
    </w:p>
    <w:p>
      <w:pPr>
        <w:numPr>
          <w:ilvl w:val="0"/>
          <w:numId w:val="1001"/>
        </w:numPr>
      </w:pPr>
      <w:r>
        <w:rPr>
          <w:bCs/>
          <w:b/>
        </w:rPr>
        <w:t xml:space="preserve">Usable system.</w:t>
      </w:r>
      <w:r>
        <w:t xml:space="preserve"> </w:t>
      </w:r>
      <w:r>
        <w:t xml:space="preserve">Deliver a click-to-3D application with a learned detector that suggests where to click, running on free or low-cost cloud hardware.</w:t>
      </w:r>
    </w:p>
    <w:bookmarkEnd w:id="32"/>
    <w:bookmarkStart w:id="33" w:name="methodology"/>
    <w:p>
      <w:pPr>
        <w:pStyle w:val="Heading2"/>
      </w:pPr>
      <w:r>
        <w:t xml:space="preserve">1.4 Methodology</w:t>
      </w:r>
    </w:p>
    <w:p>
      <w:pPr>
        <w:pStyle w:val="FirstParagraph"/>
      </w:pPr>
      <w:r>
        <w:t xml:space="preserve">MedLift-3D is evaluated as a virtual clinical trial on real patient CT, because no public dataset has chest DTS together with CT ground truth. Figure 3.6 in Chapter 3 shows the full pipeline.</w:t>
      </w:r>
    </w:p>
    <w:p>
      <w:pPr>
        <w:numPr>
          <w:ilvl w:val="0"/>
          <w:numId w:val="1002"/>
        </w:numPr>
      </w:pPr>
      <w:r>
        <w:rPr>
          <w:bCs/>
          <w:b/>
        </w:rPr>
        <w:t xml:space="preserve">Data:</w:t>
      </w:r>
      <w:r>
        <w:t xml:space="preserve"> </w:t>
      </w:r>
      <w:r>
        <w:t xml:space="preserve">583 LIDC-IDRI patients with 1,144 nodules of 4–30 mm marked by at least three of four radiologists [19, 20], split by patient 60/20/20 into training, calibration and test sets.</w:t>
      </w:r>
    </w:p>
    <w:p>
      <w:pPr>
        <w:numPr>
          <w:ilvl w:val="0"/>
          <w:numId w:val="1002"/>
        </w:numPr>
      </w:pPr>
      <w:r>
        <w:rPr>
          <w:bCs/>
          <w:b/>
        </w:rPr>
        <w:t xml:space="preserve">DTS simulation:</w:t>
      </w:r>
      <w:r>
        <w:t xml:space="preserve"> </w:t>
      </w:r>
      <w:r>
        <w:t xml:space="preserve">15 low-dose views over</w:t>
      </w:r>
      <w:r>
        <w:t xml:space="preserve"> </w:t>
      </w:r>
      <m:oMath>
        <m:r>
          <m:rPr>
            <m:sty m:val="p"/>
          </m:rPr>
          <m:t>±</m:t>
        </m:r>
        <m:sSup>
          <m:e>
            <m:r>
              <m:t>15</m:t>
            </m:r>
          </m:e>
          <m:sup>
            <m:r>
              <m:rPr>
                <m:sty m:val="p"/>
              </m:rPr>
              <m:t>∘</m:t>
            </m:r>
          </m:sup>
        </m:sSup>
      </m:oMath>
      <w:r>
        <w:t xml:space="preserve"> </w:t>
      </w:r>
      <w:r>
        <w:t xml:space="preserve">with Poisson noise, reconstructed by SIRT [21].</w:t>
      </w:r>
    </w:p>
    <w:p>
      <w:pPr>
        <w:numPr>
          <w:ilvl w:val="0"/>
          <w:numId w:val="1002"/>
        </w:numPr>
      </w:pPr>
      <w:r>
        <w:rPr>
          <w:bCs/>
          <w:b/>
        </w:rPr>
        <w:t xml:space="preserve">Click and prism:</w:t>
      </w:r>
      <w:r>
        <w:t xml:space="preserve"> </w:t>
      </w:r>
      <w:r>
        <w:t xml:space="preserve">the clinician, helped by a learned detector, selects a nodule; a 64 mm column through the whole chest (the</w:t>
      </w:r>
      <w:r>
        <w:t xml:space="preserve"> </w:t>
      </w:r>
      <w:r>
        <w:rPr>
          <w:iCs/>
          <w:i/>
        </w:rPr>
        <w:t xml:space="preserve">prism</w:t>
      </w:r>
      <w:r>
        <w:t xml:space="preserve">) is reconstructed around it.</w:t>
      </w:r>
    </w:p>
    <w:p>
      <w:pPr>
        <w:numPr>
          <w:ilvl w:val="0"/>
          <w:numId w:val="1002"/>
        </w:numPr>
      </w:pPr>
      <w:r>
        <w:rPr>
          <w:bCs/>
          <w:b/>
        </w:rPr>
        <w:t xml:space="preserve">Diffusion prior:</w:t>
      </w:r>
      <w:r>
        <w:t xml:space="preserve"> </w:t>
      </w:r>
      <w:r>
        <w:t xml:space="preserve">a 17.4-million-parameter conditional 3D U-Net diffusion model [22–24] generates eight CT-like hypotheses of the prism, each kept consistent with the X-rays by SIRT steps inside the sampler.</w:t>
      </w:r>
    </w:p>
    <w:p>
      <w:pPr>
        <w:numPr>
          <w:ilvl w:val="0"/>
          <w:numId w:val="1002"/>
        </w:numPr>
      </w:pPr>
      <w:r>
        <w:rPr>
          <w:bCs/>
          <w:b/>
        </w:rPr>
        <w:t xml:space="preserve">3D Gaussians:</w:t>
      </w:r>
      <w:r>
        <w:t xml:space="preserve"> </w:t>
      </w:r>
      <w:r>
        <w:t xml:space="preserve">each hypothesis is fitted with anisotropic 3D Gaussians [25, 26], which give the nodule’s mass in closed form.</w:t>
      </w:r>
    </w:p>
    <w:p>
      <w:pPr>
        <w:numPr>
          <w:ilvl w:val="0"/>
          <w:numId w:val="1002"/>
        </w:numPr>
      </w:pPr>
      <w:r>
        <w:rPr>
          <w:bCs/>
          <w:b/>
        </w:rPr>
        <w:t xml:space="preserve">Uncertainty:</w:t>
      </w:r>
      <w:r>
        <w:t xml:space="preserve"> </w:t>
      </w:r>
      <w:r>
        <w:t xml:space="preserve">the spread of the eight hypotheses is calibrated into conformal intervals and predictive distributions on the calibration patients [27–30].</w:t>
      </w:r>
    </w:p>
    <w:p>
      <w:pPr>
        <w:numPr>
          <w:ilvl w:val="0"/>
          <w:numId w:val="1002"/>
        </w:numPr>
      </w:pPr>
      <w:r>
        <w:rPr>
          <w:bCs/>
          <w:b/>
        </w:rPr>
        <w:t xml:space="preserve">Explanation:</w:t>
      </w:r>
      <w:r>
        <w:t xml:space="preserve"> </w:t>
      </w:r>
      <w:r>
        <w:t xml:space="preserve">each result is split into seen and unseen parts by a conjugate-gradient null-space decomposition [16, 31], and the detector is explained with input</w:t>
      </w:r>
      <m:oMath>
        <m:r>
          <m:rPr>
            <m:sty m:val="p"/>
          </m:rPr>
          <m:t>×</m:t>
        </m:r>
      </m:oMath>
      <w:r>
        <w:t xml:space="preserve">gradient saliency [32].</w:t>
      </w:r>
    </w:p>
    <w:bookmarkEnd w:id="33"/>
    <w:bookmarkStart w:id="37" w:name="project-outcome"/>
    <w:p>
      <w:pPr>
        <w:pStyle w:val="Heading2"/>
      </w:pPr>
      <w:r>
        <w:t xml:space="preserve">1.5 Project Outcome</w:t>
      </w:r>
    </w:p>
    <w:p>
      <w:pPr>
        <w:pStyle w:val="FirstParagraph"/>
      </w:pPr>
      <w:r>
        <w:t xml:space="preserve">The project produces outcomes at three levels: a working and verified technical system, a tool that a clinician can use, and research contributions that can be published.</w:t>
      </w:r>
    </w:p>
    <w:bookmarkStart w:id="34" w:name="technical-outcome"/>
    <w:p>
      <w:pPr>
        <w:pStyle w:val="Heading3"/>
      </w:pPr>
      <w:r>
        <w:t xml:space="preserve">1.5.1 Technical Outcome</w:t>
      </w:r>
    </w:p>
    <w:p>
      <w:pPr>
        <w:pStyle w:val="FirstParagraph"/>
      </w:pPr>
      <w:r>
        <w:t xml:space="preserve">A verified, open pipeline of 18 scripted steps, each ending in automatic PASS/FAIL checks, from data download to final tables, figures and an HTML report. It contains a differentiable DTS simulator and projector, whole-chest and prism reconstruction, a trained conditional diffusion prior and nodule detector, Gaussian measurement, conformal calibration and an explainability module, covered by 69 unit tests and documented for rented cloud GPUs and free Kaggle notebooks. The full study runs on one rented GPU in about 15 hours for about US$20.</w:t>
      </w:r>
    </w:p>
    <w:bookmarkEnd w:id="34"/>
    <w:bookmarkStart w:id="35" w:name="clinical-outcome"/>
    <w:p>
      <w:pPr>
        <w:pStyle w:val="Heading3"/>
      </w:pPr>
      <w:r>
        <w:t xml:space="preserve">1.5.2 Clinical Outcome</w:t>
      </w:r>
    </w:p>
    <w:p>
      <w:pPr>
        <w:pStyle w:val="FirstParagraph"/>
      </w:pPr>
      <w:r>
        <w:t xml:space="preserve">A click-to-3D application that returns, in under a minute, the nodule’s mass, volume, long-axis diameter and EUPS size category with calibrated probabilities, together with a virtual follow-up for growth. Every number comes with an interval instead of a single value, and a low-confidence flag tells the clinician when the DTS evidence is too weak and a CT is advisable. The tool is meant for following known nodules, the step that today requires repeated CT.</w:t>
      </w:r>
    </w:p>
    <w:bookmarkEnd w:id="35"/>
    <w:bookmarkStart w:id="36" w:name="research-contribution"/>
    <w:p>
      <w:pPr>
        <w:pStyle w:val="Heading3"/>
      </w:pPr>
      <w:r>
        <w:t xml:space="preserve">1.5.3 Research Contribution</w:t>
      </w:r>
    </w:p>
    <w:p>
      <w:pPr>
        <w:pStyle w:val="FirstParagraph"/>
      </w:pPr>
      <w:r>
        <w:t xml:space="preserve">(i) A projection-moment argument that DTS measures mass but not depth extent; (ii) a data-consistent diffusion prior inside a DTS prism combined with Gaussian mass; (iii) calibrated, decision-level uncertainty for DTS volumetry; (iv) a truth-referenced seen/unseen test of what the prior adds. Section 2.3 states exactly what is and is not new.</w:t>
      </w:r>
    </w:p>
    <w:bookmarkEnd w:id="36"/>
    <w:bookmarkEnd w:id="37"/>
    <w:bookmarkStart w:id="38" w:name="organization-of-the-report"/>
    <w:p>
      <w:pPr>
        <w:pStyle w:val="Heading2"/>
      </w:pPr>
      <w:r>
        <w:t xml:space="preserve">1.6 Organization of the Report</w:t>
      </w:r>
    </w:p>
    <w:p>
      <w:pPr>
        <w:pStyle w:val="FirstParagraph"/>
      </w:pPr>
      <w:r>
        <w:t xml:space="preserve">Chapter 2 gives the background on DTS, diffusion models, 3D Gaussians, conformal prediction and explainability, reviews similar applications and research, and identifies the gap. Chapter 3 presents the requirements, the context and data flow diagrams, the user interface, the detailed method with the alternatives considered, the project plan and the task allocation. Chapter 4 describes the environment and tools, how each requirement was verified, and the results for H1–H6. Chapter 5 covers standards; societal, health, safety, legal, cultural, ethical, environmental and sustainability considerations; cost; and the complex engineering problem mapping. Chapter 6 summarises the work, its limitations, future work and what we learned.</w:t>
      </w:r>
    </w:p>
    <w:bookmarkEnd w:id="38"/>
    <w:bookmarkEnd w:id="39"/>
    <w:bookmarkStart w:id="58" w:name="chapter-2-background"/>
    <w:p>
      <w:pPr>
        <w:pStyle w:val="Heading1"/>
      </w:pPr>
      <w:r>
        <w:t xml:space="preserve">Chapter 2: Background</w:t>
      </w:r>
    </w:p>
    <w:p>
      <w:pPr>
        <w:pStyle w:val="FirstParagraph"/>
      </w:pPr>
      <w:r>
        <w:t xml:space="preserve">This chapter gives the background needed for the rest of the report and reviews existing applications and research. It ends with the gap that MedLift-3D addresses.</w:t>
      </w:r>
    </w:p>
    <w:bookmarkStart w:id="52" w:name="preliminaries"/>
    <w:p>
      <w:pPr>
        <w:pStyle w:val="Heading2"/>
      </w:pPr>
      <w:r>
        <w:t xml:space="preserve">2.1 Preliminaries</w:t>
      </w:r>
    </w:p>
    <w:p>
      <w:pPr>
        <w:pStyle w:val="FirstParagraph"/>
      </w:pPr>
      <w:r>
        <w:t xml:space="preserve">This section introduces the physics of X-ray projection and tomosynthesis, iterative reconstruction and its null space, diffusion models, Gaussian representations and nodule mass, conformal prediction, and the explainability and detection metrics used in the rest of the report.</w:t>
      </w:r>
    </w:p>
    <w:bookmarkStart w:id="40" w:name="Xe8f7cdd13526c6b1b9568eb4b07a4a8902d7dc5"/>
    <w:p>
      <w:pPr>
        <w:pStyle w:val="Heading3"/>
      </w:pPr>
      <w:r>
        <w:t xml:space="preserve">2.1.1 X-ray Projection and Digital Tomosynthesis</w:t>
      </w:r>
    </w:p>
    <w:p>
      <w:pPr>
        <w:pStyle w:val="FirstParagraph"/>
      </w:pPr>
      <w:r>
        <w:t xml:space="preserve">A detector pixel records the line integral of the linear attenuation coefficient</w:t>
      </w:r>
      <w:r>
        <w:t xml:space="preserve"> </w:t>
      </w:r>
      <m:oMath>
        <m:r>
          <m:t>μ</m:t>
        </m:r>
      </m:oMath>
      <w:r>
        <w:t xml:space="preserve"> </w:t>
      </w:r>
      <w:r>
        <w:t xml:space="preserve">along the ray from the source. With</w:t>
      </w:r>
      <w:r>
        <w:t xml:space="preserve"> </w:t>
      </w:r>
      <m:oMath>
        <m:sSub>
          <m:e>
            <m:r>
              <m:t>I</m:t>
            </m:r>
          </m:e>
          <m:sub>
            <m:r>
              <m:t>0</m:t>
            </m:r>
          </m:sub>
        </m:sSub>
      </m:oMath>
      <w:r>
        <w:t xml:space="preserve"> </w:t>
      </w:r>
      <w:r>
        <w:t xml:space="preserve">incident photons the expected count is</w:t>
      </w:r>
    </w:p>
    <w:p>
      <w:pPr>
        <w:pStyle w:val="BodyText"/>
      </w:pPr>
      <m:oMathPara>
        <m:oMathParaPr>
          <m:jc m:val="center"/>
        </m:oMathParaPr>
        <m:oMath>
          <m:acc>
            <m:accPr>
              <m:chr m:val="‾"/>
            </m:accPr>
            <m:e>
              <m:r>
                <m:t>I</m:t>
              </m:r>
            </m:e>
          </m:acc>
          <m:r>
            <m:rPr>
              <m:sty m:val="p"/>
            </m:rPr>
            <m:t>=</m:t>
          </m:r>
          <m:sSub>
            <m:e>
              <m:r>
                <m:t>I</m:t>
              </m:r>
            </m:e>
            <m:sub>
              <m:r>
                <m:t>0</m:t>
              </m:r>
            </m:sub>
          </m:sSub>
          <m:r>
            <m:rPr>
              <m:sty m:val="p"/>
            </m:rPr>
            <m:t>exp</m:t>
          </m:r>
          <m:d>
            <m:dPr>
              <m:begChr m:val="("/>
              <m:endChr m:val=")"/>
              <m:sepChr m:val=""/>
              <m:grow/>
            </m:dPr>
            <m:e>
              <m:r>
                <m:rPr>
                  <m:sty m:val="p"/>
                </m:rPr>
                <m:t>−</m:t>
              </m:r>
              <m:nary>
                <m:naryPr>
                  <m:chr m:val="∫"/>
                  <m:limLoc m:val="subSup"/>
                  <m:subHide m:val="off"/>
                  <m:supHide m:val="on"/>
                </m:naryPr>
                <m:sub>
                  <m:r>
                    <m:rPr>
                      <m:nor/>
                      <m:sty m:val="p"/>
                    </m:rPr>
                    <m:t>ray</m:t>
                  </m:r>
                </m:sub>
                <m:sup>
                  <m:r>
                    <m:t>​</m:t>
                  </m:r>
                </m:sup>
                <m:e>
                  <m:r>
                    <m:t>μ</m:t>
                  </m:r>
                </m:e>
              </m:nary>
              <m:d>
                <m:dPr>
                  <m:begChr m:val="("/>
                  <m:endChr m:val=")"/>
                  <m:sepChr m:val=""/>
                  <m:grow/>
                </m:dPr>
                <m:e>
                  <m:r>
                    <m:rPr>
                      <m:sty m:val="b"/>
                    </m:rPr>
                    <m:t>r</m:t>
                  </m:r>
                </m:e>
              </m:d>
              <m:r>
                <m:t> </m:t>
              </m:r>
              <m:r>
                <m:rPr>
                  <m:sty m:val="p"/>
                </m:rPr>
                <m:t>d</m:t>
              </m:r>
              <m:r>
                <m:t>l</m:t>
              </m:r>
            </m:e>
          </m:d>
          <m:r>
            <m:rPr>
              <m:sty m:val="p"/>
            </m:rPr>
            <m:t>,</m:t>
          </m:r>
          <m:r>
            <m:t>  </m:t>
          </m:r>
          <m:r>
            <m:t>I</m:t>
          </m:r>
          <m:r>
            <m:rPr>
              <m:sty m:val="p"/>
            </m:rPr>
            <m:t>∼</m:t>
          </m:r>
          <m:r>
            <m:rPr>
              <m:sty m:val="p"/>
            </m:rPr>
            <m:t>P</m:t>
          </m:r>
          <m:r>
            <m:rPr>
              <m:sty m:val="p"/>
            </m:rPr>
            <m:t>o</m:t>
          </m:r>
          <m:r>
            <m:rPr>
              <m:sty m:val="p"/>
            </m:rPr>
            <m:t>i</m:t>
          </m:r>
          <m:r>
            <m:rPr>
              <m:sty m:val="p"/>
            </m:rPr>
            <m:t>s</m:t>
          </m:r>
          <m:r>
            <m:rPr>
              <m:sty m:val="p"/>
            </m:rPr>
            <m:t>s</m:t>
          </m:r>
          <m:r>
            <m:rPr>
              <m:sty m:val="p"/>
            </m:rPr>
            <m:t>o</m:t>
          </m:r>
          <m:r>
            <m:rPr>
              <m:sty m:val="p"/>
            </m:rPr>
            <m:t>n</m:t>
          </m:r>
          <m:d>
            <m:dPr>
              <m:begChr m:val="("/>
              <m:endChr m:val=")"/>
              <m:sepChr m:val=""/>
              <m:grow/>
            </m:dPr>
            <m:e>
              <m:acc>
                <m:accPr>
                  <m:chr m:val="‾"/>
                </m:accPr>
                <m:e>
                  <m:r>
                    <m:t>I</m:t>
                  </m:r>
                </m:e>
              </m:acc>
            </m:e>
          </m:d>
          <m:r>
            <m:rPr>
              <m:sty m:val="p"/>
            </m:rPr>
            <m:t>,</m:t>
          </m:r>
          <m:r>
            <m:t>  </m:t>
          </m:r>
          <m:d>
            <m:dPr>
              <m:begChr m:val="("/>
              <m:endChr m:val=")"/>
              <m:sepChr m:val=""/>
              <m:grow/>
            </m:dPr>
            <m:e>
              <m:r>
                <m:t>2.1</m:t>
              </m:r>
            </m:e>
          </m:d>
        </m:oMath>
      </m:oMathPara>
    </w:p>
    <w:p>
      <w:pPr>
        <w:pStyle w:val="FirstParagraph"/>
      </w:pPr>
      <w:r>
        <w:t xml:space="preserve">so fewer photons (lower dose) mean more noise. CT values are expressed in Hounsfield units,</w:t>
      </w:r>
      <w:r>
        <w:t xml:space="preserve"> </w:t>
      </w:r>
      <m:oMath>
        <m:r>
          <m:rPr>
            <m:sty m:val="p"/>
          </m:rPr>
          <m:t>H</m:t>
        </m:r>
        <m:r>
          <m:rPr>
            <m:sty m:val="p"/>
          </m:rPr>
          <m:t>U</m:t>
        </m:r>
        <m:r>
          <m:rPr>
            <m:sty m:val="p"/>
          </m:rPr>
          <m:t>=</m:t>
        </m:r>
        <m:r>
          <m:t>1000</m:t>
        </m:r>
        <m:r>
          <m:t> </m:t>
        </m:r>
        <m:d>
          <m:dPr>
            <m:begChr m:val="("/>
            <m:endChr m:val=")"/>
            <m:sepChr m:val=""/>
            <m:grow/>
          </m:dPr>
          <m:e>
            <m:r>
              <m:t>μ</m:t>
            </m:r>
            <m:r>
              <m:rPr>
                <m:sty m:val="p"/>
              </m:rPr>
              <m:t>−</m:t>
            </m:r>
            <m:sSub>
              <m:e>
                <m:r>
                  <m:t>μ</m:t>
                </m:r>
              </m:e>
              <m:sub>
                <m:r>
                  <m:rPr>
                    <m:nor/>
                    <m:sty m:val="p"/>
                  </m:rPr>
                  <m:t>water</m:t>
                </m:r>
              </m:sub>
            </m:sSub>
          </m:e>
        </m:d>
        <m:r>
          <m:rPr>
            <m:sty m:val="p"/>
          </m:rPr>
          <m:t>/</m:t>
        </m:r>
        <m:sSub>
          <m:e>
            <m:r>
              <m:t>μ</m:t>
            </m:r>
          </m:e>
          <m:sub>
            <m:r>
              <m:rPr>
                <m:nor/>
                <m:sty m:val="p"/>
              </m:rPr>
              <m:t>water</m:t>
            </m:r>
          </m:sub>
        </m:sSub>
      </m:oMath>
      <w:r>
        <w:t xml:space="preserve">.</w:t>
      </w:r>
    </w:p>
    <w:p>
      <w:pPr>
        <w:pStyle w:val="BodyText"/>
      </w:pPr>
      <w:r>
        <w:rPr>
          <w:bCs/>
          <w:b/>
        </w:rPr>
        <w:t xml:space="preserve">The missing wedge.</w:t>
      </w:r>
      <w:r>
        <w:t xml:space="preserve"> </w:t>
      </w:r>
      <w:r>
        <w:t xml:space="preserve">CT collects projections over 180° or more. Chest DTS moves the tube along a short linear track, typically</w:t>
      </w:r>
      <w:r>
        <w:t xml:space="preserve"> </w:t>
      </w:r>
      <m:oMath>
        <m:r>
          <m:rPr>
            <m:sty m:val="p"/>
          </m:rPr>
          <m:t>±</m:t>
        </m:r>
        <m:sSup>
          <m:e>
            <m:r>
              <m:t>15</m:t>
            </m:r>
          </m:e>
          <m:sup>
            <m:r>
              <m:rPr>
                <m:sty m:val="p"/>
              </m:rPr>
              <m:t>∘</m:t>
            </m:r>
          </m:sup>
        </m:sSup>
      </m:oMath>
      <w:r>
        <w:t xml:space="preserve"> </w:t>
      </w:r>
      <w:r>
        <w:t xml:space="preserve">(GE VolumeRAD) to</w:t>
      </w:r>
      <w:r>
        <w:t xml:space="preserve"> </w:t>
      </w:r>
      <m:oMath>
        <m:r>
          <m:rPr>
            <m:sty m:val="p"/>
          </m:rPr>
          <m:t>±</m:t>
        </m:r>
        <m:sSup>
          <m:e>
            <m:r>
              <m:t>20</m:t>
            </m:r>
          </m:e>
          <m:sup>
            <m:r>
              <m:rPr>
                <m:sty m:val="p"/>
              </m:rPr>
              <m:t>∘</m:t>
            </m:r>
          </m:sup>
        </m:sSup>
      </m:oMath>
      <w:r>
        <w:t xml:space="preserve"> </w:t>
      </w:r>
      <w:r>
        <w:t xml:space="preserve">(Shimadzu SonialVision), with 15–74 views [7]. By the Fourier slice theorem each view measures one plane of the object’s 3D Fourier transform, so a narrow sweep leaves a wedge of depth frequencies unmeasured (Figure 1.1b). Reconstructions are sharp in the coronal plane but every structure is smeared in depth.</w:t>
      </w:r>
    </w:p>
    <w:bookmarkEnd w:id="40"/>
    <w:bookmarkStart w:id="44" w:name="Xd210da141c2bc5422b8a985bc34fd703cafe2b4"/>
    <w:p>
      <w:pPr>
        <w:pStyle w:val="Heading3"/>
      </w:pPr>
      <w:r>
        <w:t xml:space="preserve">2.1.2 Iterative Reconstruction and the Null Space</w:t>
      </w:r>
    </w:p>
    <w:p>
      <w:pPr>
        <w:pStyle w:val="FirstParagraph"/>
      </w:pPr>
      <w:r>
        <w:t xml:space="preserve">Writing the projection operator as</w:t>
      </w:r>
      <w:r>
        <w:t xml:space="preserve"> </w:t>
      </w:r>
      <m:oMath>
        <m:r>
          <m:t>A</m:t>
        </m:r>
      </m:oMath>
      <w:r>
        <w:t xml:space="preserve">, the measured line integrals as</w:t>
      </w:r>
      <w:r>
        <w:t xml:space="preserve"> </w:t>
      </w:r>
      <m:oMath>
        <m:r>
          <m:rPr>
            <m:sty m:val="b"/>
          </m:rPr>
          <m:t>b</m:t>
        </m:r>
      </m:oMath>
      <w:r>
        <w:t xml:space="preserve"> </w:t>
      </w:r>
      <w:r>
        <w:t xml:space="preserve">and the volume as</w:t>
      </w:r>
      <w:r>
        <w:t xml:space="preserve"> </w:t>
      </w:r>
      <m:oMath>
        <m:r>
          <m:rPr>
            <m:sty m:val="b"/>
          </m:rPr>
          <m:t>x</m:t>
        </m:r>
      </m:oMath>
      <w:r>
        <w:t xml:space="preserve">, SIRT [21, 33] solves</w:t>
      </w:r>
      <w:r>
        <w:t xml:space="preserve"> </w:t>
      </w:r>
      <m:oMath>
        <m:r>
          <m:t>A</m:t>
        </m:r>
        <m:r>
          <m:rPr>
            <m:sty m:val="b"/>
          </m:rPr>
          <m:t>x</m:t>
        </m:r>
        <m:r>
          <m:rPr>
            <m:sty m:val="p"/>
          </m:rPr>
          <m:t>≈</m:t>
        </m:r>
        <m:r>
          <m:rPr>
            <m:sty m:val="b"/>
          </m:rPr>
          <m:t>b</m:t>
        </m:r>
      </m:oMath>
      <w:r>
        <w:t xml:space="preserve"> </w:t>
      </w:r>
      <w:r>
        <w:t xml:space="preserve">by repeated normalised back-projection of the residual:</w:t>
      </w:r>
    </w:p>
    <w:p>
      <w:pPr>
        <w:pStyle w:val="BodyText"/>
      </w:pPr>
      <m:oMathPara>
        <m:oMathParaPr>
          <m:jc m:val="center"/>
        </m:oMathParaPr>
        <m:oMath>
          <m:sSup>
            <m:e>
              <m:r>
                <m:rPr>
                  <m:sty m:val="b"/>
                </m:rPr>
                <m:t>x</m:t>
              </m:r>
            </m:e>
            <m:sup>
              <m:d>
                <m:dPr>
                  <m:begChr m:val="("/>
                  <m:endChr m:val=")"/>
                  <m:sepChr m:val=""/>
                  <m:grow/>
                </m:dPr>
                <m:e>
                  <m:r>
                    <m:t>k</m:t>
                  </m:r>
                  <m:r>
                    <m:rPr>
                      <m:sty m:val="p"/>
                    </m:rPr>
                    <m:t>+</m:t>
                  </m:r>
                  <m:r>
                    <m:t>1</m:t>
                  </m:r>
                </m:e>
              </m:d>
            </m:sup>
          </m:sSup>
          <m:r>
            <m:rPr>
              <m:sty m:val="p"/>
            </m:rPr>
            <m:t>=</m:t>
          </m:r>
          <m:sSup>
            <m:e>
              <m:r>
                <m:rPr>
                  <m:sty m:val="b"/>
                </m:rPr>
                <m:t>x</m:t>
              </m:r>
            </m:e>
            <m:sup>
              <m:d>
                <m:dPr>
                  <m:begChr m:val="("/>
                  <m:endChr m:val=")"/>
                  <m:sepChr m:val=""/>
                  <m:grow/>
                </m:dPr>
                <m:e>
                  <m:r>
                    <m:t>k</m:t>
                  </m:r>
                </m:e>
              </m:d>
            </m:sup>
          </m:sSup>
          <m:r>
            <m:rPr>
              <m:sty m:val="p"/>
            </m:rPr>
            <m:t>+</m:t>
          </m:r>
          <m:r>
            <m:t>λ</m:t>
          </m:r>
          <m:r>
            <m:t> </m:t>
          </m:r>
          <m:r>
            <m:t>C</m:t>
          </m:r>
          <m:sSup>
            <m:e>
              <m:r>
                <m:t>A</m:t>
              </m:r>
            </m:e>
            <m:sup>
              <m:r>
                <m:rPr>
                  <m:sty m:val="p"/>
                </m:rPr>
                <m:t>⊤</m:t>
              </m:r>
            </m:sup>
          </m:sSup>
          <m:r>
            <m:t>R</m:t>
          </m:r>
          <m:d>
            <m:dPr>
              <m:begChr m:val="("/>
              <m:endChr m:val=")"/>
              <m:sepChr m:val=""/>
              <m:grow/>
            </m:dPr>
            <m:e>
              <m:r>
                <m:rPr>
                  <m:sty m:val="b"/>
                </m:rPr>
                <m:t>b</m:t>
              </m:r>
              <m:r>
                <m:rPr>
                  <m:sty m:val="p"/>
                </m:rPr>
                <m:t>−</m:t>
              </m:r>
              <m:r>
                <m:t>A</m:t>
              </m:r>
              <m:sSup>
                <m:e>
                  <m:r>
                    <m:rPr>
                      <m:sty m:val="b"/>
                    </m:rPr>
                    <m:t>x</m:t>
                  </m:r>
                </m:e>
                <m:sup>
                  <m:d>
                    <m:dPr>
                      <m:begChr m:val="("/>
                      <m:endChr m:val=")"/>
                      <m:sepChr m:val=""/>
                      <m:grow/>
                    </m:dPr>
                    <m:e>
                      <m:r>
                        <m:t>k</m:t>
                      </m:r>
                    </m:e>
                  </m:d>
                </m:sup>
              </m:sSup>
            </m:e>
          </m:d>
          <m:r>
            <m:rPr>
              <m:sty m:val="p"/>
            </m:rPr>
            <m:t>,</m:t>
          </m:r>
          <m:r>
            <m:t>  </m:t>
          </m:r>
          <m:d>
            <m:dPr>
              <m:begChr m:val="("/>
              <m:endChr m:val=")"/>
              <m:sepChr m:val=""/>
              <m:grow/>
            </m:dPr>
            <m:e>
              <m:r>
                <m:t>2.2</m:t>
              </m:r>
            </m:e>
          </m:d>
        </m:oMath>
      </m:oMathPara>
    </w:p>
    <w:p>
      <w:pPr>
        <w:pStyle w:val="FirstParagraph"/>
      </w:pPr>
      <w:r>
        <w:t xml:space="preserve">where</w:t>
      </w:r>
      <w:r>
        <w:t xml:space="preserve"> </w:t>
      </w:r>
      <m:oMath>
        <m:r>
          <m:t>R</m:t>
        </m:r>
      </m:oMath>
      <w:r>
        <w:t xml:space="preserve"> </w:t>
      </w:r>
      <w:r>
        <w:t xml:space="preserve">and</w:t>
      </w:r>
      <w:r>
        <w:t xml:space="preserve"> </w:t>
      </w:r>
      <m:oMath>
        <m:r>
          <m:t>C</m:t>
        </m:r>
      </m:oMath>
      <w:r>
        <w:t xml:space="preserve"> </w:t>
      </w:r>
      <w:r>
        <w:t xml:space="preserve">hold the inverse row and column sums of</w:t>
      </w:r>
      <w:r>
        <w:t xml:space="preserve"> </w:t>
      </w:r>
      <m:oMath>
        <m:r>
          <m:t>A</m:t>
        </m:r>
      </m:oMath>
      <w:r>
        <w:t xml:space="preserve">. It is stable under noise but cannot recover anything that lies in the null space of</w:t>
      </w:r>
      <w:r>
        <w:t xml:space="preserve"> </w:t>
      </w:r>
      <m:oMath>
        <m:r>
          <m:t>A</m:t>
        </m:r>
      </m:oMath>
      <w:r>
        <w:t xml:space="preserve">.</w:t>
      </w:r>
    </w:p>
    <w:p>
      <w:pPr>
        <w:pStyle w:val="BodyText"/>
      </w:pPr>
      <w:r>
        <w:rPr>
          <w:bCs/>
          <w:b/>
        </w:rPr>
        <w:t xml:space="preserve">Seen and unseen parts.</w:t>
      </w:r>
      <w:r>
        <w:t xml:space="preserve"> </w:t>
      </w:r>
      <w:r>
        <w:t xml:space="preserve">Any volume splits uniquely as</w:t>
      </w:r>
      <w:r>
        <w:t xml:space="preserve"> </w:t>
      </w:r>
      <m:oMath>
        <m:r>
          <m:rPr>
            <m:sty m:val="b"/>
          </m:rPr>
          <m:t>x</m:t>
        </m:r>
        <m:r>
          <m:rPr>
            <m:sty m:val="p"/>
          </m:rPr>
          <m:t>=</m:t>
        </m:r>
        <m:sSub>
          <m:e>
            <m:r>
              <m:rPr>
                <m:sty m:val="b"/>
              </m:rPr>
              <m:t>x</m:t>
            </m:r>
          </m:e>
          <m:sub>
            <m:r>
              <m:rPr>
                <m:nor/>
                <m:sty m:val="p"/>
              </m:rPr>
              <m:t>seen</m:t>
            </m:r>
          </m:sub>
        </m:sSub>
        <m:r>
          <m:rPr>
            <m:sty m:val="p"/>
          </m:rPr>
          <m:t>+</m:t>
        </m:r>
        <m:sSub>
          <m:e>
            <m:r>
              <m:rPr>
                <m:sty m:val="b"/>
              </m:rPr>
              <m:t>x</m:t>
            </m:r>
          </m:e>
          <m:sub>
            <m:r>
              <m:rPr>
                <m:nor/>
                <m:sty m:val="p"/>
              </m:rPr>
              <m:t>unseen</m:t>
            </m:r>
          </m:sub>
        </m:sSub>
      </m:oMath>
      <w:r>
        <w:t xml:space="preserve"> </w:t>
      </w:r>
      <w:r>
        <w:t xml:space="preserve">with</w:t>
      </w:r>
      <w:r>
        <w:t xml:space="preserve"> </w:t>
      </w:r>
      <m:oMath>
        <m:sSub>
          <m:e>
            <m:r>
              <m:rPr>
                <m:sty m:val="b"/>
              </m:rPr>
              <m:t>x</m:t>
            </m:r>
          </m:e>
          <m:sub>
            <m:r>
              <m:rPr>
                <m:nor/>
                <m:sty m:val="p"/>
              </m:rPr>
              <m:t>seen</m:t>
            </m:r>
          </m:sub>
        </m:sSub>
        <m:r>
          <m:rPr>
            <m:sty m:val="p"/>
          </m:rPr>
          <m:t>∈</m:t>
        </m:r>
        <m:r>
          <m:rPr>
            <m:sty m:val="p"/>
            <m:scr m:val="script"/>
          </m:rPr>
          <m:t>R</m:t>
        </m:r>
        <m:d>
          <m:dPr>
            <m:begChr m:val="("/>
            <m:endChr m:val=")"/>
            <m:sepChr m:val=""/>
            <m:grow/>
          </m:dPr>
          <m:e>
            <m:sSup>
              <m:e>
                <m:r>
                  <m:t>A</m:t>
                </m:r>
              </m:e>
              <m:sup>
                <m:r>
                  <m:rPr>
                    <m:sty m:val="p"/>
                  </m:rPr>
                  <m:t>⊤</m:t>
                </m:r>
              </m:sup>
            </m:sSup>
          </m:e>
        </m:d>
      </m:oMath>
      <w:r>
        <w:t xml:space="preserve"> </w:t>
      </w:r>
      <w:r>
        <w:t xml:space="preserve">and</w:t>
      </w:r>
      <w:r>
        <w:t xml:space="preserve"> </w:t>
      </w:r>
      <m:oMath>
        <m:sSub>
          <m:e>
            <m:r>
              <m:rPr>
                <m:sty m:val="b"/>
              </m:rPr>
              <m:t>x</m:t>
            </m:r>
          </m:e>
          <m:sub>
            <m:r>
              <m:rPr>
                <m:nor/>
                <m:sty m:val="p"/>
              </m:rPr>
              <m:t>unseen</m:t>
            </m:r>
          </m:sub>
        </m:sSub>
        <m:r>
          <m:rPr>
            <m:sty m:val="p"/>
          </m:rPr>
          <m:t>∈</m:t>
        </m:r>
        <m:r>
          <m:rPr>
            <m:sty m:val="p"/>
            <m:scr m:val="script"/>
          </m:rPr>
          <m:t>N</m:t>
        </m:r>
        <m:d>
          <m:dPr>
            <m:begChr m:val="("/>
            <m:endChr m:val=")"/>
            <m:sepChr m:val=""/>
            <m:grow/>
          </m:dPr>
          <m:e>
            <m:r>
              <m:t>A</m:t>
            </m:r>
          </m:e>
        </m:d>
      </m:oMath>
      <w:r>
        <w:t xml:space="preserve">, i.e. </w:t>
      </w:r>
      <m:oMath>
        <m:r>
          <m:t>A</m:t>
        </m:r>
        <m:sSub>
          <m:e>
            <m:r>
              <m:rPr>
                <m:sty m:val="b"/>
              </m:rPr>
              <m:t>x</m:t>
            </m:r>
          </m:e>
          <m:sub>
            <m:r>
              <m:rPr>
                <m:nor/>
                <m:sty m:val="p"/>
              </m:rPr>
              <m:t>unseen</m:t>
            </m:r>
          </m:sub>
        </m:sSub>
        <m:r>
          <m:rPr>
            <m:sty m:val="p"/>
          </m:rPr>
          <m:t>=</m:t>
        </m:r>
        <m:r>
          <m:t>0</m:t>
        </m:r>
      </m:oMath>
      <w:r>
        <w:t xml:space="preserve">. The X-rays determine only the seen part; the unseen part of any reconstruction comes from its prior [16, 31]. Figure 2.1 illustrates this.</w:t>
      </w:r>
    </w:p>
    <w:p>
      <w:pPr>
        <w:pStyle w:val="BodyText"/>
        <w:jc w:val="center"/>
      </w:pPr>
      <w:r>
        <w:drawing>
          <wp:inline>
            <wp:extent cx="5334000" cy="3081544"/>
            <wp:effectExtent b="0" l="0" r="0" t="0"/>
            <wp:docPr descr="image" title="" id="42" name="Picture"/>
            <a:graphic>
              <a:graphicData uri="http://schemas.openxmlformats.org/drawingml/2006/picture">
                <pic:pic>
                  <pic:nvPicPr>
                    <pic:cNvPr descr="/home/user/medlift3d/report/docx_build/figs/fig_seen_unseen.png" id="43" name="Picture"/>
                    <pic:cNvPicPr>
                      <a:picLocks noChangeArrowheads="1" noChangeAspect="1"/>
                    </pic:cNvPicPr>
                  </pic:nvPicPr>
                  <pic:blipFill>
                    <a:blip r:embed="rId41"/>
                    <a:stretch>
                      <a:fillRect/>
                    </a:stretch>
                  </pic:blipFill>
                  <pic:spPr bwMode="auto">
                    <a:xfrm>
                      <a:off x="0" y="0"/>
                      <a:ext cx="5334000" cy="3081544"/>
                    </a:xfrm>
                    <a:prstGeom prst="rect">
                      <a:avLst/>
                    </a:prstGeom>
                    <a:noFill/>
                    <a:ln w="9525">
                      <a:noFill/>
                      <a:headEnd/>
                      <a:tailEnd/>
                    </a:ln>
                  </pic:spPr>
                </pic:pic>
              </a:graphicData>
            </a:graphic>
          </wp:inline>
        </w:drawing>
      </w:r>
    </w:p>
    <w:p>
      <w:pPr>
        <w:pStyle w:val="BodyText"/>
        <w:jc w:val="center"/>
      </w:pPr>
      <w:r>
        <w:rPr>
          <w:bCs/>
          <w:b/>
          <w:iCs/>
          <w:i/>
          <w:sz w:val="20"/>
        </w:rPr>
        <w:t xml:space="preserve">Figure 2.1:</w:t>
      </w:r>
      <w:r>
        <w:rPr>
          <w:iCs/>
          <w:i/>
          <w:sz w:val="20"/>
        </w:rPr>
        <w:t xml:space="preserve"> </w:t>
      </w:r>
      <w:r>
        <w:rPr>
          <w:iCs/>
          <w:i/>
          <w:sz w:val="20"/>
        </w:rPr>
        <w:t xml:space="preserve">Seen (range) and unseen (null-space) components. All volumes on the vertical line agree with the measured views. SIRT returns the minimum-norm point with no unseen content; diffusion samples supply unseen content, which we test against the true CT (unseen skill, Section 3.2).</w:t>
      </w:r>
    </w:p>
    <w:bookmarkEnd w:id="44"/>
    <w:bookmarkStart w:id="45" w:name="denoising-diffusion-models"/>
    <w:p>
      <w:pPr>
        <w:pStyle w:val="Heading3"/>
      </w:pPr>
      <w:r>
        <w:t xml:space="preserve">2.1.3 Denoising Diffusion Models</w:t>
      </w:r>
    </w:p>
    <w:p>
      <w:pPr>
        <w:pStyle w:val="FirstParagraph"/>
      </w:pPr>
      <w:r>
        <w:t xml:space="preserve">A diffusion model learns to reverse a gradual noising process [22]. With a cosine noise schedule</w:t>
      </w:r>
      <w:r>
        <w:t xml:space="preserve"> </w:t>
      </w:r>
      <m:oMath>
        <m:sSub>
          <m:e>
            <m:acc>
              <m:accPr>
                <m:chr m:val="‾"/>
              </m:accPr>
              <m:e>
                <m:r>
                  <m:t>α</m:t>
                </m:r>
              </m:e>
            </m:acc>
          </m:e>
          <m:sub>
            <m:r>
              <m:t>t</m:t>
            </m:r>
          </m:sub>
        </m:sSub>
      </m:oMath>
      <w:r>
        <w:t xml:space="preserve"> </w:t>
      </w:r>
      <w:r>
        <w:t xml:space="preserve">[34], a noisy sample is</w:t>
      </w:r>
    </w:p>
    <w:p>
      <w:pPr>
        <w:pStyle w:val="BodyText"/>
      </w:pPr>
      <m:oMathPara>
        <m:oMathParaPr>
          <m:jc m:val="center"/>
        </m:oMathParaPr>
        <m:oMath>
          <m:sSub>
            <m:e>
              <m:r>
                <m:rPr>
                  <m:sty m:val="b"/>
                </m:rPr>
                <m:t>x</m:t>
              </m:r>
            </m:e>
            <m:sub>
              <m:r>
                <m:t>t</m:t>
              </m:r>
            </m:sub>
          </m:sSub>
          <m:r>
            <m:rPr>
              <m:sty m:val="p"/>
            </m:rPr>
            <m:t>=</m:t>
          </m:r>
          <m:rad>
            <m:radPr>
              <m:degHide m:val="on"/>
            </m:radPr>
            <m:deg/>
            <m:e>
              <m:sSub>
                <m:e>
                  <m:acc>
                    <m:accPr>
                      <m:chr m:val="‾"/>
                    </m:accPr>
                    <m:e>
                      <m:r>
                        <m:t>α</m:t>
                      </m:r>
                    </m:e>
                  </m:acc>
                </m:e>
                <m:sub>
                  <m:r>
                    <m:t>t</m:t>
                  </m:r>
                </m:sub>
              </m:sSub>
            </m:e>
          </m:rad>
          <m:r>
            <m:t> </m:t>
          </m:r>
          <m:sSub>
            <m:e>
              <m:r>
                <m:rPr>
                  <m:sty m:val="b"/>
                </m:rPr>
                <m:t>x</m:t>
              </m:r>
            </m:e>
            <m:sub>
              <m:r>
                <m:t>0</m:t>
              </m:r>
            </m:sub>
          </m:sSub>
          <m:r>
            <m:rPr>
              <m:sty m:val="p"/>
            </m:rPr>
            <m:t>+</m:t>
          </m:r>
          <m:rad>
            <m:radPr>
              <m:degHide m:val="on"/>
            </m:radPr>
            <m:deg/>
            <m:e>
              <m:r>
                <m:t>1</m:t>
              </m:r>
              <m:r>
                <m:rPr>
                  <m:sty m:val="p"/>
                </m:rPr>
                <m:t>−</m:t>
              </m:r>
              <m:sSub>
                <m:e>
                  <m:acc>
                    <m:accPr>
                      <m:chr m:val="‾"/>
                    </m:accPr>
                    <m:e>
                      <m:r>
                        <m:t>α</m:t>
                      </m:r>
                    </m:e>
                  </m:acc>
                </m:e>
                <m:sub>
                  <m:r>
                    <m:t>t</m:t>
                  </m:r>
                </m:sub>
              </m:sSub>
            </m:e>
          </m:rad>
          <m:r>
            <m:t> </m:t>
          </m:r>
          <m:r>
            <m:rPr>
              <m:sty m:val="b"/>
            </m:rPr>
            <m:t>ϵ</m:t>
          </m:r>
          <m:r>
            <m:rPr>
              <m:sty m:val="p"/>
            </m:rPr>
            <m:t>,</m:t>
          </m:r>
          <m:r>
            <m:t>  </m:t>
          </m:r>
          <m:r>
            <m:rPr>
              <m:sty m:val="b"/>
            </m:rPr>
            <m:t>ϵ</m:t>
          </m:r>
          <m:r>
            <m:rPr>
              <m:sty m:val="p"/>
            </m:rPr>
            <m:t>∼</m:t>
          </m:r>
          <m:r>
            <m:rPr>
              <m:sty m:val="p"/>
              <m:scr m:val="script"/>
            </m:rPr>
            <m:t>N</m:t>
          </m:r>
          <m:d>
            <m:dPr>
              <m:begChr m:val="("/>
              <m:endChr m:val=")"/>
              <m:sepChr m:val=""/>
              <m:grow/>
            </m:dPr>
            <m:e>
              <m:r>
                <m:rPr>
                  <m:sty m:val="b"/>
                </m:rPr>
                <m:t>0</m:t>
              </m:r>
              <m:r>
                <m:rPr>
                  <m:sty m:val="p"/>
                </m:rPr>
                <m:t>,</m:t>
              </m:r>
              <m:r>
                <m:t>I</m:t>
              </m:r>
            </m:e>
          </m:d>
          <m:r>
            <m:rPr>
              <m:sty m:val="p"/>
            </m:rPr>
            <m:t>.</m:t>
          </m:r>
          <m:r>
            <m:t>  </m:t>
          </m:r>
          <m:d>
            <m:dPr>
              <m:begChr m:val="("/>
              <m:endChr m:val=")"/>
              <m:sepChr m:val=""/>
              <m:grow/>
            </m:dPr>
            <m:e>
              <m:r>
                <m:t>2.3</m:t>
              </m:r>
            </m:e>
          </m:d>
        </m:oMath>
      </m:oMathPara>
    </w:p>
    <w:p>
      <w:pPr>
        <w:pStyle w:val="FirstParagraph"/>
      </w:pPr>
      <w:r>
        <w:t xml:space="preserve">We train the network to predict the velocity</w:t>
      </w:r>
      <w:r>
        <w:t xml:space="preserve"> </w:t>
      </w:r>
      <m:oMath>
        <m:r>
          <m:rPr>
            <m:sty m:val="b"/>
          </m:rPr>
          <m:t>v</m:t>
        </m:r>
        <m:r>
          <m:rPr>
            <m:sty m:val="p"/>
          </m:rPr>
          <m:t>=</m:t>
        </m:r>
        <m:rad>
          <m:radPr>
            <m:degHide m:val="on"/>
          </m:radPr>
          <m:deg/>
          <m:e>
            <m:sSub>
              <m:e>
                <m:acc>
                  <m:accPr>
                    <m:chr m:val="‾"/>
                  </m:accPr>
                  <m:e>
                    <m:r>
                      <m:t>α</m:t>
                    </m:r>
                  </m:e>
                </m:acc>
              </m:e>
              <m:sub>
                <m:r>
                  <m:t>t</m:t>
                </m:r>
              </m:sub>
            </m:sSub>
          </m:e>
        </m:rad>
        <m:r>
          <m:t> </m:t>
        </m:r>
        <m:r>
          <m:rPr>
            <m:sty m:val="b"/>
          </m:rPr>
          <m:t>ϵ</m:t>
        </m:r>
        <m:r>
          <m:rPr>
            <m:sty m:val="p"/>
          </m:rPr>
          <m:t>−</m:t>
        </m:r>
        <m:rad>
          <m:radPr>
            <m:degHide m:val="on"/>
          </m:radPr>
          <m:deg/>
          <m:e>
            <m:r>
              <m:t>1</m:t>
            </m:r>
            <m:r>
              <m:rPr>
                <m:sty m:val="p"/>
              </m:rPr>
              <m:t>−</m:t>
            </m:r>
            <m:sSub>
              <m:e>
                <m:acc>
                  <m:accPr>
                    <m:chr m:val="‾"/>
                  </m:accPr>
                  <m:e>
                    <m:r>
                      <m:t>α</m:t>
                    </m:r>
                  </m:e>
                </m:acc>
              </m:e>
              <m:sub>
                <m:r>
                  <m:t>t</m:t>
                </m:r>
              </m:sub>
            </m:sSub>
          </m:e>
        </m:rad>
        <m:r>
          <m:t> </m:t>
        </m:r>
        <m:sSub>
          <m:e>
            <m:r>
              <m:rPr>
                <m:sty m:val="b"/>
              </m:rPr>
              <m:t>x</m:t>
            </m:r>
          </m:e>
          <m:sub>
            <m:r>
              <m:t>0</m:t>
            </m:r>
          </m:sub>
        </m:sSub>
      </m:oMath>
      <w:r>
        <w:t xml:space="preserve"> </w:t>
      </w:r>
      <w:r>
        <w:t xml:space="preserve">(v-prediction [24]), minimising</w:t>
      </w:r>
    </w:p>
    <w:p>
      <w:pPr>
        <w:pStyle w:val="BodyText"/>
      </w:pPr>
      <m:oMathPara>
        <m:oMathParaPr>
          <m:jc m:val="center"/>
        </m:oMathParaPr>
        <m:oMath>
          <m:r>
            <m:rPr>
              <m:sty m:val="p"/>
              <m:scr m:val="script"/>
            </m:rPr>
            <m:t>L</m:t>
          </m:r>
          <m:d>
            <m:dPr>
              <m:begChr m:val="("/>
              <m:endChr m:val=")"/>
              <m:sepChr m:val=""/>
              <m:grow/>
            </m:dPr>
            <m:e>
              <m:r>
                <m:t>θ</m:t>
              </m:r>
            </m:e>
          </m:d>
          <m:r>
            <m:rPr>
              <m:sty m:val="p"/>
            </m:rPr>
            <m:t>=</m:t>
          </m:r>
          <m:sSub>
            <m:e>
              <m:r>
                <m:rPr>
                  <m:sty m:val="p"/>
                  <m:scr m:val="double-struck"/>
                </m:rPr>
                <m:t>E</m:t>
              </m:r>
            </m:e>
            <m:sub>
              <m:sSub>
                <m:e>
                  <m:r>
                    <m:rPr>
                      <m:sty m:val="b"/>
                    </m:rPr>
                    <m:t>x</m:t>
                  </m:r>
                </m:e>
                <m:sub>
                  <m:r>
                    <m:t>0</m:t>
                  </m:r>
                </m:sub>
              </m:sSub>
              <m:r>
                <m:rPr>
                  <m:sty m:val="p"/>
                </m:rPr>
                <m:t>,</m:t>
              </m:r>
              <m:r>
                <m:rPr>
                  <m:sty m:val="b"/>
                </m:rPr>
                <m:t>c</m:t>
              </m:r>
              <m:r>
                <m:rPr>
                  <m:sty m:val="p"/>
                </m:rPr>
                <m:t>,</m:t>
              </m:r>
              <m:r>
                <m:t>t</m:t>
              </m:r>
              <m:r>
                <m:rPr>
                  <m:sty m:val="p"/>
                </m:rPr>
                <m:t>,</m:t>
              </m:r>
              <m:r>
                <m:rPr>
                  <m:sty m:val="b"/>
                </m:rPr>
                <m:t>ϵ</m:t>
              </m:r>
            </m:sub>
          </m:sSub>
          <m:r>
            <m:t> </m:t>
          </m:r>
          <m:r>
            <m:rPr>
              <m:sty m:val="p"/>
            </m:rPr>
            <m:t>∥</m:t>
          </m:r>
          <m:r>
            <m:rPr>
              <m:sty m:val="b"/>
            </m:rPr>
            <m:t>v</m:t>
          </m:r>
          <m:r>
            <m:rPr>
              <m:sty m:val="p"/>
            </m:rPr>
            <m:t>−</m:t>
          </m:r>
          <m:sSub>
            <m:e>
              <m:acc>
                <m:accPr>
                  <m:chr m:val="̂"/>
                </m:accPr>
                <m:e>
                  <m:r>
                    <m:rPr>
                      <m:sty m:val="b"/>
                    </m:rPr>
                    <m:t>v</m:t>
                  </m:r>
                </m:e>
              </m:acc>
            </m:e>
            <m:sub>
              <m:r>
                <m:t>θ</m:t>
              </m:r>
            </m:sub>
          </m:sSub>
          <m:d>
            <m:dPr>
              <m:begChr m:val="("/>
              <m:endChr m:val=")"/>
              <m:sepChr m:val=""/>
              <m:grow/>
            </m:dPr>
            <m:e>
              <m:sSub>
                <m:e>
                  <m:r>
                    <m:rPr>
                      <m:sty m:val="b"/>
                    </m:rPr>
                    <m:t>x</m:t>
                  </m:r>
                </m:e>
                <m:sub>
                  <m:r>
                    <m:t>t</m:t>
                  </m:r>
                </m:sub>
              </m:sSub>
              <m:r>
                <m:rPr>
                  <m:sty m:val="p"/>
                </m:rPr>
                <m:t>,</m:t>
              </m:r>
              <m:r>
                <m:rPr>
                  <m:sty m:val="b"/>
                </m:rPr>
                <m:t>c</m:t>
              </m:r>
              <m:r>
                <m:rPr>
                  <m:sty m:val="p"/>
                </m:rPr>
                <m:t>,</m:t>
              </m:r>
              <m:r>
                <m:t>t</m:t>
              </m:r>
            </m:e>
          </m:d>
          <m:sSubSup>
            <m:e>
              <m:r>
                <m:rPr>
                  <m:sty m:val="p"/>
                </m:rPr>
                <m:t>∥</m:t>
              </m:r>
            </m:e>
            <m:sub>
              <m:r>
                <m:t>2</m:t>
              </m:r>
            </m:sub>
            <m:sup>
              <m:r>
                <m:t>2</m:t>
              </m:r>
            </m:sup>
          </m:sSubSup>
          <m:r>
            <m:rPr>
              <m:sty m:val="p"/>
            </m:rPr>
            <m:t>,</m:t>
          </m:r>
          <m:r>
            <m:t>  </m:t>
          </m:r>
          <m:d>
            <m:dPr>
              <m:begChr m:val="("/>
              <m:endChr m:val=")"/>
              <m:sepChr m:val=""/>
              <m:grow/>
            </m:dPr>
            <m:e>
              <m:r>
                <m:t>2.4</m:t>
              </m:r>
            </m:e>
          </m:d>
        </m:oMath>
      </m:oMathPara>
    </w:p>
    <w:p>
      <w:pPr>
        <w:pStyle w:val="FirstParagraph"/>
      </w:pPr>
      <w:r>
        <w:t xml:space="preserve">where the condition</w:t>
      </w:r>
      <w:r>
        <w:t xml:space="preserve"> </w:t>
      </w:r>
      <m:oMath>
        <m:r>
          <m:rPr>
            <m:sty m:val="b"/>
          </m:rPr>
          <m:t>c</m:t>
        </m:r>
      </m:oMath>
      <w:r>
        <w:t xml:space="preserve"> </w:t>
      </w:r>
      <w:r>
        <w:t xml:space="preserve">is the DTS reconstruction, so the model learns</w:t>
      </w:r>
      <w:r>
        <w:t xml:space="preserve"> </w:t>
      </w:r>
      <m:oMath>
        <m:r>
          <m:t>p</m:t>
        </m:r>
        <m:d>
          <m:dPr>
            <m:begChr m:val="("/>
            <m:endChr m:val=")"/>
            <m:sepChr m:val=""/>
            <m:grow/>
          </m:dPr>
          <m:e>
            <m:sSub>
              <m:e>
                <m:r>
                  <m:rPr>
                    <m:sty m:val="b"/>
                  </m:rPr>
                  <m:t>x</m:t>
                </m:r>
              </m:e>
              <m:sub>
                <m:r>
                  <m:t>0</m:t>
                </m:r>
              </m:sub>
            </m:sSub>
            <m:r>
              <m:rPr>
                <m:sty m:val="p"/>
              </m:rPr>
              <m:t>∣</m:t>
            </m:r>
            <m:r>
              <m:rPr>
                <m:sty m:val="b"/>
              </m:rPr>
              <m:t>c</m:t>
            </m:r>
          </m:e>
        </m:d>
      </m:oMath>
      <w:r>
        <w:t xml:space="preserve">. DDIM [23] samples in tens of steps instead of a thousand, and data-consistency (DC) sampling corrects every denoised estimate with the physics so that samples agree with the measurements [35, 36].</w:t>
      </w:r>
    </w:p>
    <w:bookmarkEnd w:id="45"/>
    <w:bookmarkStart w:id="46" w:name="X550057da84f376e83f193ffd9462203c73e9912"/>
    <w:p>
      <w:pPr>
        <w:pStyle w:val="Heading3"/>
      </w:pPr>
      <w:r>
        <w:t xml:space="preserve">2.1.4 3D Gaussian Representations and Nodule Mass</w:t>
      </w:r>
    </w:p>
    <w:p>
      <w:pPr>
        <w:pStyle w:val="FirstParagraph"/>
      </w:pPr>
      <w:r>
        <w:t xml:space="preserve">A volume can be written as a sum of anisotropic Gaussians with centres</w:t>
      </w:r>
      <w:r>
        <w:t xml:space="preserve"> </w:t>
      </w:r>
      <m:oMath>
        <m:sSub>
          <m:e>
            <m:r>
              <m:rPr>
                <m:sty m:val="b"/>
              </m:rPr>
              <m:t>μ</m:t>
            </m:r>
          </m:e>
          <m:sub>
            <m:r>
              <m:t>i</m:t>
            </m:r>
          </m:sub>
        </m:sSub>
      </m:oMath>
      <w:r>
        <w:t xml:space="preserve">, covariances</w:t>
      </w:r>
      <w:r>
        <w:t xml:space="preserve"> </w:t>
      </w:r>
      <m:oMath>
        <m:sSub>
          <m:e>
            <m:r>
              <m:t>Σ</m:t>
            </m:r>
          </m:e>
          <m:sub>
            <m:r>
              <m:t>i</m:t>
            </m:r>
          </m:sub>
        </m:sSub>
        <m:r>
          <m:rPr>
            <m:sty m:val="p"/>
          </m:rPr>
          <m:t>=</m:t>
        </m:r>
        <m:sSub>
          <m:e>
            <m:r>
              <m:t>R</m:t>
            </m:r>
          </m:e>
          <m:sub>
            <m:r>
              <m:t>i</m:t>
            </m:r>
          </m:sub>
        </m:sSub>
        <m:sSub>
          <m:e>
            <m:r>
              <m:t>S</m:t>
            </m:r>
          </m:e>
          <m:sub>
            <m:r>
              <m:t>i</m:t>
            </m:r>
          </m:sub>
        </m:sSub>
        <m:sSubSup>
          <m:e>
            <m:r>
              <m:t>S</m:t>
            </m:r>
          </m:e>
          <m:sub>
            <m:r>
              <m:t>i</m:t>
            </m:r>
          </m:sub>
          <m:sup>
            <m:r>
              <m:rPr>
                <m:sty m:val="p"/>
              </m:rPr>
              <m:t>⊤</m:t>
            </m:r>
          </m:sup>
        </m:sSubSup>
        <m:sSubSup>
          <m:e>
            <m:r>
              <m:t>R</m:t>
            </m:r>
          </m:e>
          <m:sub>
            <m:r>
              <m:t>i</m:t>
            </m:r>
          </m:sub>
          <m:sup>
            <m:r>
              <m:rPr>
                <m:sty m:val="p"/>
              </m:rPr>
              <m:t>⊤</m:t>
            </m:r>
          </m:sup>
        </m:sSubSup>
      </m:oMath>
      <w:r>
        <w:t xml:space="preserve"> </w:t>
      </w:r>
      <w:r>
        <w:t xml:space="preserve">and amplitudes</w:t>
      </w:r>
      <w:r>
        <w:t xml:space="preserve"> </w:t>
      </w:r>
      <m:oMath>
        <m:sSub>
          <m:e>
            <m:r>
              <m:t>a</m:t>
            </m:r>
          </m:e>
          <m:sub>
            <m:r>
              <m:t>i</m:t>
            </m:r>
          </m:sub>
        </m:sSub>
      </m:oMath>
      <w:r>
        <w:t xml:space="preserve"> </w:t>
      </w:r>
      <w:r>
        <w:t xml:space="preserve">[25, 26]:</w:t>
      </w:r>
    </w:p>
    <w:p>
      <w:pPr>
        <w:pStyle w:val="BodyText"/>
      </w:pPr>
      <m:oMathPara>
        <m:oMathParaPr>
          <m:jc m:val="center"/>
        </m:oMathParaPr>
        <m:oMath>
          <m:r>
            <m:t>f</m:t>
          </m:r>
          <m:d>
            <m:dPr>
              <m:begChr m:val="("/>
              <m:endChr m:val=")"/>
              <m:sepChr m:val=""/>
              <m:grow/>
            </m:dPr>
            <m:e>
              <m:r>
                <m:rPr>
                  <m:sty m:val="b"/>
                </m:rPr>
                <m:t>r</m:t>
              </m:r>
            </m:e>
          </m:d>
          <m:r>
            <m:rPr>
              <m:sty m:val="p"/>
            </m:rPr>
            <m:t>=</m:t>
          </m:r>
          <m:nary>
            <m:naryPr>
              <m:chr m:val="∑"/>
              <m:limLoc m:val="undOvr"/>
              <m:subHide m:val="off"/>
              <m:supHide m:val="on"/>
            </m:naryPr>
            <m:sub>
              <m:r>
                <m:t>i</m:t>
              </m:r>
            </m:sub>
            <m:sup>
              <m:r>
                <m:t>​</m:t>
              </m:r>
            </m:sup>
            <m:e>
              <m:sSub>
                <m:e>
                  <m:r>
                    <m:t>a</m:t>
                  </m:r>
                </m:e>
                <m:sub>
                  <m:r>
                    <m:t>i</m:t>
                  </m:r>
                </m:sub>
              </m:sSub>
            </m:e>
          </m:nary>
          <m:r>
            <m:rPr>
              <m:sty m:val="p"/>
            </m:rPr>
            <m:t>exp</m:t>
          </m:r>
          <m:r>
            <m:t>​</m:t>
          </m:r>
          <m:d>
            <m:dPr>
              <m:begChr m:val="("/>
              <m:endChr m:val=")"/>
              <m:sepChr m:val=""/>
              <m:grow/>
            </m:dPr>
            <m:e>
              <m:r>
                <m:rPr>
                  <m:sty m:val="p"/>
                </m:rPr>
                <m:t>−</m:t>
              </m:r>
              <m:f>
                <m:fPr>
                  <m:type m:val="lin"/>
                </m:fPr>
                <m:num>
                  <m:r>
                    <m:t>1</m:t>
                  </m:r>
                </m:num>
                <m:den>
                  <m:r>
                    <m:t>2</m:t>
                  </m:r>
                </m:den>
              </m:f>
              <m:sSup>
                <m:e>
                  <m:d>
                    <m:dPr>
                      <m:begChr m:val="("/>
                      <m:endChr m:val=")"/>
                      <m:sepChr m:val=""/>
                      <m:grow/>
                    </m:dPr>
                    <m:e>
                      <m:r>
                        <m:rPr>
                          <m:sty m:val="b"/>
                        </m:rPr>
                        <m:t>r</m:t>
                      </m:r>
                      <m:r>
                        <m:rPr>
                          <m:sty m:val="p"/>
                        </m:rPr>
                        <m:t>−</m:t>
                      </m:r>
                      <m:sSub>
                        <m:e>
                          <m:r>
                            <m:rPr>
                              <m:sty m:val="b"/>
                            </m:rPr>
                            <m:t>μ</m:t>
                          </m:r>
                        </m:e>
                        <m:sub>
                          <m:r>
                            <m:t>i</m:t>
                          </m:r>
                        </m:sub>
                      </m:sSub>
                    </m:e>
                  </m:d>
                </m:e>
                <m:sup>
                  <m:r>
                    <m:rPr>
                      <m:sty m:val="p"/>
                    </m:rPr>
                    <m:t>⊤</m:t>
                  </m:r>
                </m:sup>
              </m:sSup>
              <m:sSubSup>
                <m:e>
                  <m:r>
                    <m:t>Σ</m:t>
                  </m:r>
                </m:e>
                <m:sub>
                  <m:r>
                    <m:t>i</m:t>
                  </m:r>
                </m:sub>
                <m:sup>
                  <m:r>
                    <m:rPr>
                      <m:sty m:val="p"/>
                    </m:rPr>
                    <m:t>−</m:t>
                  </m:r>
                  <m:r>
                    <m:t>1</m:t>
                  </m:r>
                </m:sup>
              </m:sSubSup>
              <m:d>
                <m:dPr>
                  <m:begChr m:val="("/>
                  <m:endChr m:val=")"/>
                  <m:sepChr m:val=""/>
                  <m:grow/>
                </m:dPr>
                <m:e>
                  <m:r>
                    <m:rPr>
                      <m:sty m:val="b"/>
                    </m:rPr>
                    <m:t>r</m:t>
                  </m:r>
                  <m:r>
                    <m:rPr>
                      <m:sty m:val="p"/>
                    </m:rPr>
                    <m:t>−</m:t>
                  </m:r>
                  <m:sSub>
                    <m:e>
                      <m:r>
                        <m:rPr>
                          <m:sty m:val="b"/>
                        </m:rPr>
                        <m:t>μ</m:t>
                      </m:r>
                    </m:e>
                    <m:sub>
                      <m:r>
                        <m:t>i</m:t>
                      </m:r>
                    </m:sub>
                  </m:sSub>
                </m:e>
              </m:d>
            </m:e>
          </m:d>
          <m:r>
            <m:rPr>
              <m:sty m:val="p"/>
            </m:rPr>
            <m:t>,</m:t>
          </m:r>
          <m:r>
            <m:t>  </m:t>
          </m:r>
          <m:r>
            <m:t>M</m:t>
          </m:r>
          <m:r>
            <m:rPr>
              <m:sty m:val="p"/>
            </m:rPr>
            <m:t>=</m:t>
          </m:r>
          <m:r>
            <m:rPr>
              <m:sty m:val="p"/>
            </m:rPr>
            <m:t>∫</m:t>
          </m:r>
          <m:r>
            <m:t>f</m:t>
          </m:r>
          <m:r>
            <m:rPr>
              <m:sty m:val="p"/>
            </m:rPr>
            <m:t>=</m:t>
          </m:r>
          <m:nary>
            <m:naryPr>
              <m:chr m:val="∑"/>
              <m:limLoc m:val="undOvr"/>
              <m:subHide m:val="off"/>
              <m:supHide m:val="on"/>
            </m:naryPr>
            <m:sub>
              <m:r>
                <m:t>i</m:t>
              </m:r>
            </m:sub>
            <m:sup>
              <m:r>
                <m:t>​</m:t>
              </m:r>
            </m:sup>
            <m:e>
              <m:sSub>
                <m:e>
                  <m:r>
                    <m:t>a</m:t>
                  </m:r>
                </m:e>
                <m:sub>
                  <m:r>
                    <m:t>i</m:t>
                  </m:r>
                </m:sub>
              </m:sSub>
            </m:e>
          </m:nary>
          <m:sSup>
            <m:e>
              <m:d>
                <m:dPr>
                  <m:begChr m:val="("/>
                  <m:endChr m:val=")"/>
                  <m:sepChr m:val=""/>
                  <m:grow/>
                </m:dPr>
                <m:e>
                  <m:r>
                    <m:t>2</m:t>
                  </m:r>
                  <m:r>
                    <m:t>π</m:t>
                  </m:r>
                </m:e>
              </m:d>
            </m:e>
            <m:sup>
              <m:r>
                <m:t>3</m:t>
              </m:r>
              <m:r>
                <m:rPr>
                  <m:sty m:val="p"/>
                </m:rPr>
                <m:t>/</m:t>
              </m:r>
              <m:r>
                <m:t>2</m:t>
              </m:r>
            </m:sup>
          </m:sSup>
          <m:sSub>
            <m:e>
              <m:r>
                <m:t>s</m:t>
              </m:r>
            </m:e>
            <m:sub>
              <m:r>
                <m:t>i</m:t>
              </m:r>
              <m:r>
                <m:t>1</m:t>
              </m:r>
            </m:sub>
          </m:sSub>
          <m:sSub>
            <m:e>
              <m:r>
                <m:t>s</m:t>
              </m:r>
            </m:e>
            <m:sub>
              <m:r>
                <m:t>i</m:t>
              </m:r>
              <m:r>
                <m:t>2</m:t>
              </m:r>
            </m:sub>
          </m:sSub>
          <m:sSub>
            <m:e>
              <m:r>
                <m:t>s</m:t>
              </m:r>
            </m:e>
            <m:sub>
              <m:r>
                <m:t>i</m:t>
              </m:r>
              <m:r>
                <m:t>3</m:t>
              </m:r>
            </m:sub>
          </m:sSub>
          <m:r>
            <m:rPr>
              <m:sty m:val="p"/>
            </m:rPr>
            <m:t>,</m:t>
          </m:r>
          <m:r>
            <m:t>  </m:t>
          </m:r>
          <m:d>
            <m:dPr>
              <m:begChr m:val="("/>
              <m:endChr m:val=")"/>
              <m:sepChr m:val=""/>
              <m:grow/>
            </m:dPr>
            <m:e>
              <m:r>
                <m:t>2.5</m:t>
              </m:r>
            </m:e>
          </m:d>
        </m:oMath>
      </m:oMathPara>
    </w:p>
    <w:p>
      <w:pPr>
        <w:pStyle w:val="FirstParagraph"/>
      </w:pPr>
      <w:r>
        <w:t xml:space="preserve">where</w:t>
      </w:r>
      <w:r>
        <w:t xml:space="preserve"> </w:t>
      </w:r>
      <m:oMath>
        <m:sSub>
          <m:e>
            <m:r>
              <m:t>s</m:t>
            </m:r>
          </m:e>
          <m:sub>
            <m:r>
              <m:t>i</m:t>
            </m:r>
            <m:r>
              <m:t>1</m:t>
            </m:r>
          </m:sub>
        </m:sSub>
        <m:r>
          <m:rPr>
            <m:sty m:val="p"/>
          </m:rPr>
          <m:t>,</m:t>
        </m:r>
        <m:sSub>
          <m:e>
            <m:r>
              <m:t>s</m:t>
            </m:r>
          </m:e>
          <m:sub>
            <m:r>
              <m:t>i</m:t>
            </m:r>
            <m:r>
              <m:t>2</m:t>
            </m:r>
          </m:sub>
        </m:sSub>
        <m:r>
          <m:rPr>
            <m:sty m:val="p"/>
          </m:rPr>
          <m:t>,</m:t>
        </m:r>
        <m:sSub>
          <m:e>
            <m:r>
              <m:t>s</m:t>
            </m:r>
          </m:e>
          <m:sub>
            <m:r>
              <m:t>i</m:t>
            </m:r>
            <m:r>
              <m:t>3</m:t>
            </m:r>
          </m:sub>
        </m:sSub>
      </m:oMath>
      <w:r>
        <w:t xml:space="preserve"> </w:t>
      </w:r>
      <w:r>
        <w:t xml:space="preserve">are the Gaussian’s standard deviations. The mass is therefore closed form, and the field can be evaluated on any grid.</w:t>
      </w:r>
    </w:p>
    <w:p>
      <w:pPr>
        <w:pStyle w:val="BodyText"/>
      </w:pPr>
      <w:r>
        <w:rPr>
          <w:bCs/>
          <w:b/>
        </w:rPr>
        <w:t xml:space="preserve">Nodule mass.</w:t>
      </w:r>
      <w:r>
        <w:t xml:space="preserve"> </w:t>
      </w:r>
      <w:r>
        <w:t xml:space="preserve">In this report mass is the nodule’s excess attenuation over the surrounding lung, converted to milligrams with the CT density scale (about 0.7–0.85 mg/mm</w:t>
      </w:r>
      <m:oMath>
        <m:sSup>
          <m:e>
            <m:r>
              <m:t>​</m:t>
            </m:r>
          </m:e>
          <m:sup>
            <m:r>
              <m:t>3</m:t>
            </m:r>
          </m:sup>
        </m:sSup>
      </m:oMath>
      <w:r>
        <w:t xml:space="preserve"> </w:t>
      </w:r>
      <w:r>
        <w:t xml:space="preserve">on LIDC nodules). Mass doubling time is computed like VDT but from mass; it detects growth of part-solid nodules earlier [18].</w:t>
      </w:r>
    </w:p>
    <w:bookmarkEnd w:id="46"/>
    <w:bookmarkStart w:id="50" w:name="conformal-prediction"/>
    <w:p>
      <w:pPr>
        <w:pStyle w:val="Heading3"/>
      </w:pPr>
      <w:r>
        <w:t xml:space="preserve">2.1.5 Conformal Prediction</w:t>
      </w:r>
    </w:p>
    <w:p>
      <w:pPr>
        <w:pStyle w:val="FirstParagraph"/>
      </w:pPr>
      <w:r>
        <w:t xml:space="preserve">Split conformal prediction [27, 30] turns any predictor into intervals with a finite-sample guarantee: if calibration and test cases are exchangeable, a</w:t>
      </w:r>
      <w:r>
        <w:t xml:space="preserve"> </w:t>
      </w:r>
      <m:oMath>
        <m:d>
          <m:dPr>
            <m:begChr m:val="("/>
            <m:endChr m:val=")"/>
            <m:sepChr m:val=""/>
            <m:grow/>
          </m:dPr>
          <m:e>
            <m:r>
              <m:t>1</m:t>
            </m:r>
            <m:r>
              <m:rPr>
                <m:sty m:val="p"/>
              </m:rPr>
              <m:t>−</m:t>
            </m:r>
            <m:r>
              <m:t>α</m:t>
            </m:r>
          </m:e>
        </m:d>
      </m:oMath>
      <w:r>
        <w:t xml:space="preserve"> </w:t>
      </w:r>
      <w:r>
        <w:t xml:space="preserve">interval contains the truth with probability at least</w:t>
      </w:r>
      <w:r>
        <w:t xml:space="preserve"> </w:t>
      </w:r>
      <m:oMath>
        <m:r>
          <m:t>1</m:t>
        </m:r>
        <m:r>
          <m:rPr>
            <m:sty m:val="p"/>
          </m:rPr>
          <m:t>−</m:t>
        </m:r>
        <m:r>
          <m:t>α</m:t>
        </m:r>
      </m:oMath>
      <w:r>
        <w:t xml:space="preserve">. A</w:t>
      </w:r>
      <w:r>
        <w:t xml:space="preserve"> </w:t>
      </w:r>
      <w:r>
        <w:rPr>
          <w:iCs/>
          <w:i/>
        </w:rPr>
        <w:t xml:space="preserve">normalised</w:t>
      </w:r>
      <w:r>
        <w:t xml:space="preserve"> </w:t>
      </w:r>
      <w:r>
        <w:t xml:space="preserve">version scales each interval by a difficulty estimate (here the spread of the diffusion hypotheses); a</w:t>
      </w:r>
      <w:r>
        <w:t xml:space="preserve"> </w:t>
      </w:r>
      <w:r>
        <w:rPr>
          <w:iCs/>
          <w:i/>
        </w:rPr>
        <w:t xml:space="preserve">Mondrian</w:t>
      </w:r>
      <w:r>
        <w:t xml:space="preserve"> </w:t>
      </w:r>
      <w:r>
        <w:t xml:space="preserve">version calibrates within groups (here nodule size groups) so that coverage holds in every group; and</w:t>
      </w:r>
      <w:r>
        <w:t xml:space="preserve"> </w:t>
      </w:r>
      <w:r>
        <w:rPr>
          <w:iCs/>
          <w:i/>
        </w:rPr>
        <w:t xml:space="preserve">conformal predictive systems</w:t>
      </w:r>
      <w:r>
        <w:t xml:space="preserve"> </w:t>
      </w:r>
      <w:r>
        <w:t xml:space="preserve">(CPS) return a full calibrated cumulative distribution for each case [28, 29], from which calibrated probabilities such as</w:t>
      </w:r>
      <w:r>
        <w:t xml:space="preserve"> </w:t>
      </w:r>
      <m:oMath>
        <m:r>
          <m:t>P</m:t>
        </m:r>
        <m:d>
          <m:dPr>
            <m:begChr m:val="("/>
            <m:endChr m:val=")"/>
            <m:sepChr m:val=""/>
            <m:grow/>
          </m:dPr>
          <m:e>
            <m:r>
              <m:t>V</m:t>
            </m:r>
            <m:r>
              <m:rPr>
                <m:sty m:val="p"/>
              </m:rPr>
              <m:t>≥</m:t>
            </m:r>
            <m:r>
              <m:t>300</m:t>
            </m:r>
            <m:r>
              <m:t> </m:t>
            </m:r>
            <m:sSup>
              <m:e>
                <m:r>
                  <m:rPr>
                    <m:nor/>
                    <m:sty m:val="p"/>
                  </m:rPr>
                  <m:t>mm</m:t>
                </m:r>
              </m:e>
              <m:sup>
                <m:r>
                  <m:t>3</m:t>
                </m:r>
              </m:sup>
            </m:sSup>
          </m:e>
        </m:d>
      </m:oMath>
      <w:r>
        <w:t xml:space="preserve"> </w:t>
      </w:r>
      <w:r>
        <w:t xml:space="preserve">follow. Figure 2.2 shows the procedure.</w:t>
      </w:r>
    </w:p>
    <w:p>
      <w:pPr>
        <w:pStyle w:val="BodyText"/>
        <w:jc w:val="center"/>
      </w:pPr>
      <w:r>
        <w:drawing>
          <wp:inline>
            <wp:extent cx="5334000" cy="1413553"/>
            <wp:effectExtent b="0" l="0" r="0" t="0"/>
            <wp:docPr descr="image" title="" id="48" name="Picture"/>
            <a:graphic>
              <a:graphicData uri="http://schemas.openxmlformats.org/drawingml/2006/picture">
                <pic:pic>
                  <pic:nvPicPr>
                    <pic:cNvPr descr="/home/user/medlift3d/report/docx_build/figs/fig_conformal.png" id="49" name="Picture"/>
                    <pic:cNvPicPr>
                      <a:picLocks noChangeArrowheads="1" noChangeAspect="1"/>
                    </pic:cNvPicPr>
                  </pic:nvPicPr>
                  <pic:blipFill>
                    <a:blip r:embed="rId47"/>
                    <a:stretch>
                      <a:fillRect/>
                    </a:stretch>
                  </pic:blipFill>
                  <pic:spPr bwMode="auto">
                    <a:xfrm>
                      <a:off x="0" y="0"/>
                      <a:ext cx="5334000" cy="1413553"/>
                    </a:xfrm>
                    <a:prstGeom prst="rect">
                      <a:avLst/>
                    </a:prstGeom>
                    <a:noFill/>
                    <a:ln w="9525">
                      <a:noFill/>
                      <a:headEnd/>
                      <a:tailEnd/>
                    </a:ln>
                  </pic:spPr>
                </pic:pic>
              </a:graphicData>
            </a:graphic>
          </wp:inline>
        </w:drawing>
      </w:r>
    </w:p>
    <w:p>
      <w:pPr>
        <w:pStyle w:val="BodyText"/>
        <w:jc w:val="center"/>
      </w:pPr>
      <w:r>
        <w:rPr>
          <w:bCs/>
          <w:b/>
          <w:iCs/>
          <w:i/>
          <w:sz w:val="20"/>
        </w:rPr>
        <w:t xml:space="preserve">Figure 2.2:</w:t>
      </w:r>
      <w:r>
        <w:rPr>
          <w:iCs/>
          <w:i/>
          <w:sz w:val="20"/>
        </w:rPr>
        <w:t xml:space="preserve"> </w:t>
      </w:r>
      <w:r>
        <w:rPr>
          <w:iCs/>
          <w:i/>
          <w:sz w:val="20"/>
        </w:rPr>
        <w:t xml:space="preserve">Split-conformal calibration (schematic). (a) Normalised scores on held-out calibration patients and their</w:t>
      </w:r>
      <w:r>
        <w:rPr>
          <w:iCs/>
          <w:i/>
          <w:sz w:val="20"/>
        </w:rPr>
        <w:t xml:space="preserve"> </w:t>
      </w:r>
      <m:oMath>
        <m:d>
          <m:dPr>
            <m:begChr m:val="("/>
            <m:endChr m:val=")"/>
            <m:sepChr m:val=""/>
            <m:grow/>
          </m:dPr>
          <m:e>
            <m:r>
              <m:t>1</m:t>
            </m:r>
            <m:r>
              <m:rPr>
                <m:sty m:val="p"/>
              </m:rPr>
              <m:t>−</m:t>
            </m:r>
            <m:r>
              <m:t>α</m:t>
            </m:r>
          </m:e>
        </m:d>
      </m:oMath>
      <w:r>
        <w:rPr>
          <w:iCs/>
          <w:i/>
          <w:sz w:val="20"/>
        </w:rPr>
        <w:t xml:space="preserve"> </w:t>
      </w:r>
      <w:r>
        <w:rPr>
          <w:iCs/>
          <w:i/>
          <w:sz w:val="20"/>
        </w:rPr>
        <w:t xml:space="preserve">quantile</w:t>
      </w:r>
      <w:r>
        <w:rPr>
          <w:iCs/>
          <w:i/>
          <w:sz w:val="20"/>
        </w:rPr>
        <w:t xml:space="preserve"> </w:t>
      </w:r>
      <m:oMath>
        <m:acc>
          <m:accPr>
            <m:chr m:val="̂"/>
          </m:accPr>
          <m:e>
            <m:r>
              <m:t>q</m:t>
            </m:r>
          </m:e>
        </m:acc>
      </m:oMath>
      <w:r>
        <w:rPr>
          <w:iCs/>
          <w:i/>
          <w:sz w:val="20"/>
        </w:rPr>
        <w:t xml:space="preserve">. (b) The interval for a new nodule, valid for exchangeable patients without any assumption on the error distribution.</w:t>
      </w:r>
    </w:p>
    <w:bookmarkEnd w:id="50"/>
    <w:bookmarkStart w:id="51" w:name="explainability-and-detection-metrics"/>
    <w:p>
      <w:pPr>
        <w:pStyle w:val="Heading3"/>
      </w:pPr>
      <w:r>
        <w:t xml:space="preserve">2.1.6 Explainability and Detection Metrics</w:t>
      </w:r>
    </w:p>
    <w:p>
      <w:pPr>
        <w:pStyle w:val="FirstParagraph"/>
      </w:pPr>
      <w:r>
        <w:t xml:space="preserve">Input</w:t>
      </w:r>
      <m:oMath>
        <m:r>
          <m:rPr>
            <m:sty m:val="p"/>
          </m:rPr>
          <m:t>×</m:t>
        </m:r>
      </m:oMath>
      <w:r>
        <w:t xml:space="preserve">gradient saliency [32] multiplies each input voxel by the gradient of the output with respect to it, showing which voxels drove a detector’s score. Detection is measured by the Competition Performance Metric (CPM), the mean sensitivity at 1/8, 1/4, 1/2, 1, 2, 4 and 8 false positives per scan [37].</w:t>
      </w:r>
    </w:p>
    <w:bookmarkEnd w:id="51"/>
    <w:bookmarkEnd w:id="52"/>
    <w:bookmarkStart w:id="55" w:name="literature-review"/>
    <w:p>
      <w:pPr>
        <w:pStyle w:val="Heading2"/>
      </w:pPr>
      <w:r>
        <w:t xml:space="preserve">2.2 Literature Review</w:t>
      </w:r>
    </w:p>
    <w:p>
      <w:pPr>
        <w:pStyle w:val="FirstParagraph"/>
      </w:pPr>
      <w:r>
        <w:t xml:space="preserve">The review has two parts: applications that already address parts of the problem in practice, and research on radiation and screening, nodule measurement, chest DTS, deep priors for sparse-view reconstruction, Gaussian tomography, and trustworthiness and uncertainty.</w:t>
      </w:r>
    </w:p>
    <w:bookmarkStart w:id="53" w:name="similar-applications"/>
    <w:p>
      <w:pPr>
        <w:pStyle w:val="Heading3"/>
      </w:pPr>
      <w:r>
        <w:t xml:space="preserve">2.2.1 Similar Applications</w:t>
      </w:r>
    </w:p>
    <w:p>
      <w:pPr>
        <w:pStyle w:val="FirstParagraph"/>
      </w:pPr>
      <w:r>
        <w:t xml:space="preserve">Clinical practice already offers tools for parts of the problem, but none measures nodules in 3D from DTS. Chest DTS units from GE and Shimadzu produce coronal slices that radiologists read visually, and nodule size is judged by eye or by a diameter on a single slice. CT nodule software, from scanner vendors and AI companies, segments nodules and reports volume and doubling time, but only on CT. Detection systems such as those compared in the LUNA16 challenge suggest nodule locations without measuring them. General tools such as 3D Slicer and ITK-SNAP allow manual segmentation without any learned prior or uncertainty, and research codes for sparse-view reconstruction produce whole volumes for CT geometry and report image quality only. Table 2.1 summarises these applications and what each lacks for our problem.</w:t>
      </w:r>
    </w:p>
    <w:p>
      <w:pPr>
        <w:pStyle w:val="BodyText"/>
        <w:jc w:val="center"/>
      </w:pPr>
      <w:r>
        <w:rPr>
          <w:bCs/>
          <w:b/>
          <w:iCs/>
          <w:i/>
          <w:sz w:val="20"/>
        </w:rPr>
        <w:t xml:space="preserve">Table 2.1:</w:t>
      </w:r>
      <w:r>
        <w:rPr>
          <w:iCs/>
          <w:i/>
          <w:sz w:val="20"/>
        </w:rPr>
        <w:t xml:space="preserve"> </w:t>
      </w:r>
      <w:r>
        <w:rPr>
          <w:iCs/>
          <w:i/>
          <w:sz w:val="20"/>
        </w:rPr>
        <w:t xml:space="preserve">Applications similar to MedLift-3D.</w:t>
      </w:r>
    </w:p>
    <w:tbl>
      <w:tblPr>
        <w:tblStyle w:val="Table"/>
        <w:tblW w:type="auto" w:w="0"/>
        <w:tblLook w:firstRow="1" w:lastRow="0" w:firstColumn="0" w:lastColumn="0" w:noHBand="0" w:noVBand="0" w:val="0020"/>
        <w:jc w:val="start"/>
        <w:tblBorders>
          <w:top w:val="single" w:sz="12" w:color="000000"/>
          <w:bottom w:val="single" w:sz="12" w:color="000000"/>
          <w:insideH w:val="single" w:sz="6" w:color="808080"/>
        </w:tblBorders>
      </w:tblPr>
      <w:tblGrid>
        <w:gridCol w:w="3168"/>
        <w:gridCol w:w="2904"/>
        <w:gridCol w:w="2956"/>
      </w:tblGrid>
      <w:tr>
        <w:trPr>
          <w:tblHeader w:val="true"/>
        </w:trPr>
        <w:tc>
          <w:tcPr>
            <w:tcW w:type="dxa" w:w="3168"/>
          </w:tcPr>
          <w:p>
            <w:pPr>
              <w:pStyle w:val="Compact"/>
              <w:spacing w:line="240" w:lineRule="auto" w:after="40"/>
              <w:jc w:val="left"/>
            </w:pPr>
            <w:r>
              <w:rPr>
                <w:b/>
                <w:sz w:val="19"/>
              </w:rPr>
              <w:t xml:space="preserve">Application</w:t>
            </w:r>
          </w:p>
        </w:tc>
        <w:tc>
          <w:tcPr>
            <w:tcW w:type="dxa" w:w="2904"/>
          </w:tcPr>
          <w:p>
            <w:pPr>
              <w:pStyle w:val="Compact"/>
              <w:spacing w:line="240" w:lineRule="auto" w:after="40"/>
              <w:jc w:val="left"/>
            </w:pPr>
            <w:r>
              <w:rPr>
                <w:b/>
                <w:sz w:val="19"/>
              </w:rPr>
              <w:t xml:space="preserve">What it does</w:t>
            </w:r>
          </w:p>
        </w:tc>
        <w:tc>
          <w:tcPr>
            <w:tcW w:type="dxa" w:w="2957"/>
          </w:tcPr>
          <w:p>
            <w:pPr>
              <w:pStyle w:val="Compact"/>
              <w:spacing w:line="240" w:lineRule="auto" w:after="40"/>
              <w:jc w:val="left"/>
            </w:pPr>
            <w:r>
              <w:rPr>
                <w:b/>
                <w:sz w:val="19"/>
              </w:rPr>
              <w:t xml:space="preserve">What it lacks for our problem</w:t>
            </w:r>
          </w:p>
        </w:tc>
      </w:tr>
      <w:tr>
        <w:tc>
          <w:tcPr>
            <w:tcW w:type="dxa" w:w="3168"/>
          </w:tcPr>
          <w:p>
            <w:pPr>
              <w:pStyle w:val="Compact"/>
              <w:spacing w:line="240" w:lineRule="auto" w:after="40"/>
              <w:jc w:val="left"/>
            </w:pPr>
            <w:r>
              <w:rPr>
                <w:sz w:val="19"/>
              </w:rPr>
              <w:t xml:space="preserve">Chest DTS units (GE VolumeRAD, Shimadzu SonialVision)</w:t>
            </w:r>
          </w:p>
        </w:tc>
        <w:tc>
          <w:tcPr>
            <w:tcW w:type="dxa" w:w="2904"/>
          </w:tcPr>
          <w:p>
            <w:pPr>
              <w:pStyle w:val="Compact"/>
              <w:spacing w:line="240" w:lineRule="auto" w:after="40"/>
              <w:jc w:val="left"/>
            </w:pPr>
            <w:r>
              <w:rPr>
                <w:sz w:val="19"/>
              </w:rPr>
              <w:t xml:space="preserve">Acquire and reconstruct DTS slices for reading</w:t>
            </w:r>
          </w:p>
        </w:tc>
        <w:tc>
          <w:tcPr>
            <w:tcW w:type="dxa" w:w="2957"/>
          </w:tcPr>
          <w:p>
            <w:pPr>
              <w:pStyle w:val="Compact"/>
              <w:spacing w:line="240" w:lineRule="auto" w:after="40"/>
              <w:jc w:val="left"/>
            </w:pPr>
            <w:r>
              <w:rPr>
                <w:sz w:val="19"/>
              </w:rPr>
              <w:t xml:space="preserve">No 3D nodule measurement; depth smear left to the reader</w:t>
            </w:r>
          </w:p>
        </w:tc>
      </w:tr>
      <w:tr>
        <w:tc>
          <w:tcPr>
            <w:tcW w:type="dxa" w:w="3168"/>
          </w:tcPr>
          <w:p>
            <w:pPr>
              <w:pStyle w:val="Compact"/>
              <w:spacing w:line="240" w:lineRule="auto" w:after="40"/>
              <w:jc w:val="left"/>
            </w:pPr>
            <w:r>
              <w:rPr>
                <w:sz w:val="19"/>
              </w:rPr>
              <w:t xml:space="preserve">CT nodule volumetry software (vendor lung packages, AI nodule tools)</w:t>
            </w:r>
          </w:p>
        </w:tc>
        <w:tc>
          <w:tcPr>
            <w:tcW w:type="dxa" w:w="2904"/>
          </w:tcPr>
          <w:p>
            <w:pPr>
              <w:pStyle w:val="Compact"/>
              <w:spacing w:line="240" w:lineRule="auto" w:after="40"/>
              <w:jc w:val="left"/>
            </w:pPr>
            <w:r>
              <w:rPr>
                <w:sz w:val="19"/>
              </w:rPr>
              <w:t xml:space="preserve">Detect and segment nodules on CT, report volume and VDT</w:t>
            </w:r>
          </w:p>
        </w:tc>
        <w:tc>
          <w:tcPr>
            <w:tcW w:type="dxa" w:w="2957"/>
          </w:tcPr>
          <w:p>
            <w:pPr>
              <w:pStyle w:val="Compact"/>
              <w:spacing w:line="240" w:lineRule="auto" w:after="40"/>
              <w:jc w:val="left"/>
            </w:pPr>
            <w:r>
              <w:rPr>
                <w:sz w:val="19"/>
              </w:rPr>
              <w:t xml:space="preserve">Requires CT at every follow-up; no DTS support</w:t>
            </w:r>
          </w:p>
        </w:tc>
      </w:tr>
      <w:tr>
        <w:tc>
          <w:tcPr>
            <w:tcW w:type="dxa" w:w="3168"/>
          </w:tcPr>
          <w:p>
            <w:pPr>
              <w:pStyle w:val="Compact"/>
              <w:spacing w:line="240" w:lineRule="auto" w:after="40"/>
              <w:jc w:val="left"/>
            </w:pPr>
            <w:r>
              <w:rPr>
                <w:sz w:val="19"/>
              </w:rPr>
              <w:t xml:space="preserve">CT computer-aided detection (LUNA16-style) [37]</w:t>
            </w:r>
          </w:p>
        </w:tc>
        <w:tc>
          <w:tcPr>
            <w:tcW w:type="dxa" w:w="2904"/>
          </w:tcPr>
          <w:p>
            <w:pPr>
              <w:pStyle w:val="Compact"/>
              <w:spacing w:line="240" w:lineRule="auto" w:after="40"/>
              <w:jc w:val="left"/>
            </w:pPr>
            <w:r>
              <w:rPr>
                <w:sz w:val="19"/>
              </w:rPr>
              <w:t xml:space="preserve">Suggest nodule locations on CT</w:t>
            </w:r>
          </w:p>
        </w:tc>
        <w:tc>
          <w:tcPr>
            <w:tcW w:type="dxa" w:w="2957"/>
          </w:tcPr>
          <w:p>
            <w:pPr>
              <w:pStyle w:val="Compact"/>
              <w:spacing w:line="240" w:lineRule="auto" w:after="40"/>
              <w:jc w:val="left"/>
            </w:pPr>
            <w:r>
              <w:rPr>
                <w:sz w:val="19"/>
              </w:rPr>
              <w:t xml:space="preserve">Detection only; no measurement or uncertainty</w:t>
            </w:r>
          </w:p>
        </w:tc>
      </w:tr>
      <w:tr>
        <w:tc>
          <w:tcPr>
            <w:tcW w:type="dxa" w:w="3168"/>
          </w:tcPr>
          <w:p>
            <w:pPr>
              <w:pStyle w:val="Compact"/>
              <w:spacing w:line="240" w:lineRule="auto" w:after="40"/>
              <w:jc w:val="left"/>
            </w:pPr>
            <w:r>
              <w:rPr>
                <w:sz w:val="19"/>
              </w:rPr>
              <w:t xml:space="preserve">3D Slicer, ITK-SNAP</w:t>
            </w:r>
          </w:p>
        </w:tc>
        <w:tc>
          <w:tcPr>
            <w:tcW w:type="dxa" w:w="2904"/>
          </w:tcPr>
          <w:p>
            <w:pPr>
              <w:pStyle w:val="Compact"/>
              <w:spacing w:line="240" w:lineRule="auto" w:after="40"/>
              <w:jc w:val="left"/>
            </w:pPr>
            <w:r>
              <w:rPr>
                <w:sz w:val="19"/>
              </w:rPr>
              <w:t xml:space="preserve">Viewing and manual segmentation</w:t>
            </w:r>
          </w:p>
        </w:tc>
        <w:tc>
          <w:tcPr>
            <w:tcW w:type="dxa" w:w="2957"/>
          </w:tcPr>
          <w:p>
            <w:pPr>
              <w:pStyle w:val="Compact"/>
              <w:spacing w:line="240" w:lineRule="auto" w:after="40"/>
              <w:jc w:val="left"/>
            </w:pPr>
            <w:r>
              <w:rPr>
                <w:sz w:val="19"/>
              </w:rPr>
              <w:t xml:space="preserve">No learned prior, no calibrated numbers</w:t>
            </w:r>
          </w:p>
        </w:tc>
      </w:tr>
      <w:tr>
        <w:tc>
          <w:tcPr>
            <w:tcW w:type="dxa" w:w="3168"/>
          </w:tcPr>
          <w:p>
            <w:pPr>
              <w:pStyle w:val="Compact"/>
              <w:spacing w:line="240" w:lineRule="auto" w:after="40"/>
              <w:jc w:val="left"/>
            </w:pPr>
            <w:r>
              <w:rPr>
                <w:sz w:val="19"/>
              </w:rPr>
              <w:t xml:space="preserve">Research sparse-view reconstruction codes (R</w:t>
            </w:r>
            <m:oMath>
              <m:sSup>
                <m:e>
                  <m:r>
                    <m:t>​</m:t>
                  </m:r>
                </m:e>
                <m:sup>
                  <m:r>
                    <m:t>2</m:t>
                  </m:r>
                </m:sup>
              </m:sSup>
            </m:oMath>
            <w:r>
              <w:rPr>
                <w:sz w:val="19"/>
              </w:rPr>
              <w:t xml:space="preserve">-Gaussian, 3DGR-CT) [26, 38]</w:t>
            </w:r>
          </w:p>
        </w:tc>
        <w:tc>
          <w:tcPr>
            <w:tcW w:type="dxa" w:w="2904"/>
          </w:tcPr>
          <w:p>
            <w:pPr>
              <w:pStyle w:val="Compact"/>
              <w:spacing w:line="240" w:lineRule="auto" w:after="40"/>
              <w:jc w:val="left"/>
            </w:pPr>
            <w:r>
              <w:rPr>
                <w:sz w:val="19"/>
              </w:rPr>
              <w:t xml:space="preserve">Reconstruct whole volumes from few views</w:t>
            </w:r>
          </w:p>
        </w:tc>
        <w:tc>
          <w:tcPr>
            <w:tcW w:type="dxa" w:w="2957"/>
          </w:tcPr>
          <w:p>
            <w:pPr>
              <w:pStyle w:val="Compact"/>
              <w:spacing w:line="240" w:lineRule="auto" w:after="40"/>
              <w:jc w:val="left"/>
            </w:pPr>
            <w:r>
              <w:rPr>
                <w:sz w:val="19"/>
              </w:rPr>
              <w:t xml:space="preserve">CT geometry, image metrics only, no clinical numbers</w:t>
            </w:r>
          </w:p>
        </w:tc>
      </w:tr>
    </w:tbl>
    <w:bookmarkEnd w:id="53"/>
    <w:bookmarkStart w:id="54" w:name="related-research"/>
    <w:p>
      <w:pPr>
        <w:pStyle w:val="Heading3"/>
      </w:pPr>
      <w:r>
        <w:t xml:space="preserve">2.2.2 Related Research</w:t>
      </w:r>
    </w:p>
    <w:p>
      <w:pPr>
        <w:pStyle w:val="FirstParagraph"/>
      </w:pPr>
      <w:r>
        <w:rPr>
          <w:bCs/>
          <w:b/>
        </w:rPr>
        <w:t xml:space="preserve">Radiation and screening.</w:t>
      </w:r>
      <w:r>
        <w:t xml:space="preserve"> </w:t>
      </w:r>
      <w:r>
        <w:t xml:space="preserve">Mascalchi and Sali [15] reviewed the cumulative dose of low-dose CT screening (9.3–13.0 mSv over ten years) and argued for ALARA and ultra-low-dose methods; Rampinelli et al. [6] estimated the cancer risk from screening and follow-up CT.</w:t>
      </w:r>
    </w:p>
    <w:p>
      <w:pPr>
        <w:pStyle w:val="BodyText"/>
      </w:pPr>
      <w:r>
        <w:rPr>
          <w:bCs/>
          <w:b/>
        </w:rPr>
        <w:t xml:space="preserve">3D measurement of nodules.</w:t>
      </w:r>
      <w:r>
        <w:t xml:space="preserve"> </w:t>
      </w:r>
      <w:r>
        <w:t xml:space="preserve">Lee [14] and de Margerie-Mellon et al. [12] showed that volumetry is more reproducible than diameters but varies between software, and Revel et al. [13] showed that 2D measurements of small nodules are unreliable. NELSON [4] and the European position statement [11] define the volume and VDT categories we use. De Hoop et al. [18] showed that mass detects growth of ground-glass nodules earlier than volume or diameter.</w:t>
      </w:r>
    </w:p>
    <w:p>
      <w:pPr>
        <w:pStyle w:val="BodyText"/>
      </w:pPr>
      <w:r>
        <w:rPr>
          <w:bCs/>
          <w:b/>
        </w:rPr>
        <w:t xml:space="preserve">Chest DTS.</w:t>
      </w:r>
      <w:r>
        <w:t xml:space="preserve"> </w:t>
      </w:r>
      <w:r>
        <w:t xml:space="preserve">Vikgren et al. [8] found that DTS detected about three times more nodules than chest radiography, and Dobbins and Godfrey [7] described the depth-resolution limit set by the sweep angle. DTS studies measure nodules in 2D or by reader judgement.</w:t>
      </w:r>
    </w:p>
    <w:p>
      <w:pPr>
        <w:pStyle w:val="BodyText"/>
      </w:pPr>
      <w:r>
        <w:rPr>
          <w:bCs/>
          <w:b/>
        </w:rPr>
        <w:t xml:space="preserve">Sparse-view CT with deep priors.</w:t>
      </w:r>
      <w:r>
        <w:t xml:space="preserve"> </w:t>
      </w:r>
      <w:r>
        <w:t xml:space="preserve">Score-based and diffusion models have been applied in the sinogram domain [39], with wavelet decompositions [40, 41], for spectral CT [42] and zero-shot with variational solvers [43]; DPS and DDS add data consistency to sampling [35, 36], and foundation models learn lung CT priors from 100,000 scans [44]. Classical iterative reconstruction [33] and compressed sensing [45] suppress noise but over-smooth fine detail, and implicit neural fields [46] are slow per patient. Lighter physics-conditioned diffusion [47], deep image prior with ADMM [48], mixed priors for metal artifacts [49], learned view sampling [50] and unsupervised low-dose denoising [51] address other parts of the problem. All of these report image quality on CT volumes; none produces a calibrated clinical measurement or uses DTS geometry.</w:t>
      </w:r>
    </w:p>
    <w:p>
      <w:pPr>
        <w:pStyle w:val="BodyText"/>
      </w:pPr>
      <w:r>
        <w:rPr>
          <w:bCs/>
          <w:b/>
        </w:rPr>
        <w:t xml:space="preserve">3D Gaussians in tomography.</w:t>
      </w:r>
      <w:r>
        <w:t xml:space="preserve"> </w:t>
      </w:r>
      <w:r>
        <w:t xml:space="preserve">3DGR-CT [38] and R</w:t>
      </w:r>
      <m:oMath>
        <m:sSup>
          <m:e>
            <m:r>
              <m:t>​</m:t>
            </m:r>
          </m:e>
          <m:sup>
            <m:r>
              <m:t>2</m:t>
            </m:r>
          </m:sup>
        </m:sSup>
      </m:oMath>
      <w:r>
        <w:t xml:space="preserve">-Gaussian [26] reconstruct sparse-view CT with Gaussians, and spatiotemporal Gaussians handle motion [52, 53]. They use Gaussians for speed and quality, not for closed-form mass, and have no learned prior for the missing wedge.</w:t>
      </w:r>
    </w:p>
    <w:p>
      <w:pPr>
        <w:pStyle w:val="BodyText"/>
      </w:pPr>
      <w:r>
        <w:rPr>
          <w:bCs/>
          <w:b/>
        </w:rPr>
        <w:t xml:space="preserve">Trustworthiness and uncertainty.</w:t>
      </w:r>
      <w:r>
        <w:t xml:space="preserve"> </w:t>
      </w:r>
      <w:r>
        <w:t xml:space="preserve">Bhadra et al. [16] defined hallucinations through the null space of the imaging operator, DDNM [31] uses a range–null-space decomposition inside diffusion sampling, and Zhang et al. [17] used uncertainty estimates to suppress artifacts in limited-data CT. Conformal predictive systems are available in the open-source crepes library [29] but have not been applied to imaging biomarkers from DTS.</w:t>
      </w:r>
    </w:p>
    <w:p>
      <w:pPr>
        <w:pStyle w:val="BodyText"/>
        <w:jc w:val="center"/>
      </w:pPr>
      <w:r>
        <w:rPr>
          <w:bCs/>
          <w:b/>
          <w:iCs/>
          <w:i/>
          <w:sz w:val="20"/>
        </w:rPr>
        <w:t xml:space="preserve">Table 2.2:</w:t>
      </w:r>
      <w:r>
        <w:rPr>
          <w:iCs/>
          <w:i/>
          <w:sz w:val="20"/>
        </w:rPr>
        <w:t xml:space="preserve"> </w:t>
      </w:r>
      <w:r>
        <w:rPr>
          <w:iCs/>
          <w:i/>
          <w:sz w:val="20"/>
        </w:rPr>
        <w:t xml:space="preserve">Summary of the most related research.</w:t>
      </w:r>
    </w:p>
    <w:tbl>
      <w:tblPr>
        <w:tblStyle w:val="Table"/>
        <w:tblW w:type="auto" w:w="0"/>
        <w:tblLook w:firstRow="1" w:lastRow="0" w:firstColumn="0" w:lastColumn="0" w:noHBand="0" w:noVBand="0" w:val="0020"/>
        <w:jc w:val="start"/>
        <w:tblBorders>
          <w:top w:val="single" w:sz="12" w:color="000000"/>
          <w:bottom w:val="single" w:sz="12" w:color="000000"/>
          <w:insideH w:val="single" w:sz="6" w:color="808080"/>
        </w:tblBorders>
      </w:tblPr>
      <w:tblGrid>
        <w:gridCol w:w="1445"/>
        <w:gridCol w:w="2339"/>
        <w:gridCol w:w="2422"/>
        <w:gridCol w:w="2821"/>
      </w:tblGrid>
      <w:tr>
        <w:trPr>
          <w:tblHeader w:val="true"/>
        </w:trPr>
        <w:tc>
          <w:tcPr>
            <w:tcW w:type="dxa" w:w="1445"/>
          </w:tcPr>
          <w:p>
            <w:pPr>
              <w:pStyle w:val="Compact"/>
              <w:spacing w:line="240" w:lineRule="auto" w:after="40"/>
              <w:jc w:val="left"/>
            </w:pPr>
            <w:r>
              <w:rPr>
                <w:b/>
                <w:sz w:val="19"/>
              </w:rPr>
              <w:t xml:space="preserve">Work</w:t>
            </w:r>
          </w:p>
        </w:tc>
        <w:tc>
          <w:tcPr>
            <w:tcW w:type="dxa" w:w="2340"/>
          </w:tcPr>
          <w:p>
            <w:pPr>
              <w:pStyle w:val="Compact"/>
              <w:spacing w:line="240" w:lineRule="auto" w:after="40"/>
              <w:jc w:val="left"/>
            </w:pPr>
            <w:r>
              <w:rPr>
                <w:b/>
                <w:sz w:val="19"/>
              </w:rPr>
              <w:t xml:space="preserve">Method</w:t>
            </w:r>
          </w:p>
        </w:tc>
        <w:tc>
          <w:tcPr>
            <w:tcW w:type="dxa" w:w="2422"/>
          </w:tcPr>
          <w:p>
            <w:pPr>
              <w:pStyle w:val="Compact"/>
              <w:spacing w:line="240" w:lineRule="auto" w:after="40"/>
              <w:jc w:val="left"/>
            </w:pPr>
            <w:r>
              <w:rPr>
                <w:b/>
                <w:sz w:val="19"/>
              </w:rPr>
              <w:t xml:space="preserve">Key finding</w:t>
            </w:r>
          </w:p>
        </w:tc>
        <w:tc>
          <w:tcPr>
            <w:tcW w:type="dxa" w:w="2822"/>
          </w:tcPr>
          <w:p>
            <w:pPr>
              <w:pStyle w:val="Compact"/>
              <w:spacing w:line="240" w:lineRule="auto" w:after="40"/>
              <w:jc w:val="left"/>
            </w:pPr>
            <w:r>
              <w:rPr>
                <w:b/>
                <w:sz w:val="19"/>
              </w:rPr>
              <w:t xml:space="preserve">Gap for DTS nodule measurement</w:t>
            </w:r>
          </w:p>
        </w:tc>
      </w:tr>
      <w:tr>
        <w:tc>
          <w:tcPr>
            <w:tcW w:type="dxa" w:w="1445"/>
          </w:tcPr>
          <w:p>
            <w:pPr>
              <w:pStyle w:val="Compact"/>
              <w:spacing w:line="240" w:lineRule="auto" w:after="40"/>
              <w:jc w:val="left"/>
            </w:pPr>
            <w:r>
              <w:rPr>
                <w:sz w:val="19"/>
              </w:rPr>
              <w:t xml:space="preserve">Li et al. [38]</w:t>
            </w:r>
          </w:p>
        </w:tc>
        <w:tc>
          <w:tcPr>
            <w:tcW w:type="dxa" w:w="2340"/>
          </w:tcPr>
          <w:p>
            <w:pPr>
              <w:pStyle w:val="Compact"/>
              <w:spacing w:line="240" w:lineRule="auto" w:after="40"/>
              <w:jc w:val="left"/>
            </w:pPr>
            <w:r>
              <w:rPr>
                <w:sz w:val="19"/>
              </w:rPr>
              <w:t xml:space="preserve">FBP-guided 3D Gaussians</w:t>
            </w:r>
          </w:p>
        </w:tc>
        <w:tc>
          <w:tcPr>
            <w:tcW w:type="dxa" w:w="2422"/>
          </w:tcPr>
          <w:p>
            <w:pPr>
              <w:pStyle w:val="Compact"/>
              <w:spacing w:line="240" w:lineRule="auto" w:after="40"/>
              <w:jc w:val="left"/>
            </w:pPr>
            <w:r>
              <w:rPr>
                <w:sz w:val="19"/>
              </w:rPr>
              <w:t xml:space="preserve">Faster than neural fields</w:t>
            </w:r>
          </w:p>
        </w:tc>
        <w:tc>
          <w:tcPr>
            <w:tcW w:type="dxa" w:w="2822"/>
          </w:tcPr>
          <w:p>
            <w:pPr>
              <w:pStyle w:val="Compact"/>
              <w:spacing w:line="240" w:lineRule="auto" w:after="40"/>
              <w:jc w:val="left"/>
            </w:pPr>
            <w:r>
              <w:rPr>
                <w:sz w:val="19"/>
              </w:rPr>
              <w:t xml:space="preserve">Whole-volume CT; no prior; no measurement</w:t>
            </w:r>
          </w:p>
        </w:tc>
      </w:tr>
      <w:tr>
        <w:tc>
          <w:tcPr>
            <w:tcW w:type="dxa" w:w="1445"/>
          </w:tcPr>
          <w:p>
            <w:pPr>
              <w:pStyle w:val="Compact"/>
              <w:spacing w:line="240" w:lineRule="auto" w:after="40"/>
              <w:jc w:val="left"/>
            </w:pPr>
            <w:r>
              <w:rPr>
                <w:sz w:val="19"/>
              </w:rPr>
              <w:t xml:space="preserve">Zha et al. [26]</w:t>
            </w:r>
          </w:p>
        </w:tc>
        <w:tc>
          <w:tcPr>
            <w:tcW w:type="dxa" w:w="2340"/>
          </w:tcPr>
          <w:p>
            <w:pPr>
              <w:pStyle w:val="Compact"/>
              <w:spacing w:line="240" w:lineRule="auto" w:after="40"/>
              <w:jc w:val="left"/>
            </w:pPr>
            <w:r>
              <w:rPr>
                <w:sz w:val="19"/>
              </w:rPr>
              <w:t xml:space="preserve">Radiative Gaussian splatting</w:t>
            </w:r>
          </w:p>
        </w:tc>
        <w:tc>
          <w:tcPr>
            <w:tcW w:type="dxa" w:w="2422"/>
          </w:tcPr>
          <w:p>
            <w:pPr>
              <w:pStyle w:val="Compact"/>
              <w:spacing w:line="240" w:lineRule="auto" w:after="40"/>
              <w:jc w:val="left"/>
            </w:pPr>
            <w:r>
              <w:rPr>
                <w:sz w:val="19"/>
              </w:rPr>
              <w:t xml:space="preserve">Accurate volume integration</w:t>
            </w:r>
          </w:p>
        </w:tc>
        <w:tc>
          <w:tcPr>
            <w:tcW w:type="dxa" w:w="2822"/>
          </w:tcPr>
          <w:p>
            <w:pPr>
              <w:pStyle w:val="Compact"/>
              <w:spacing w:line="240" w:lineRule="auto" w:after="40"/>
              <w:jc w:val="left"/>
            </w:pPr>
            <w:r>
              <w:rPr>
                <w:sz w:val="19"/>
              </w:rPr>
              <w:t xml:space="preserve">No learned prior; no uncertainty</w:t>
            </w:r>
          </w:p>
        </w:tc>
      </w:tr>
      <w:tr>
        <w:tc>
          <w:tcPr>
            <w:tcW w:type="dxa" w:w="1445"/>
          </w:tcPr>
          <w:p>
            <w:pPr>
              <w:pStyle w:val="Compact"/>
              <w:spacing w:line="240" w:lineRule="auto" w:after="40"/>
              <w:jc w:val="left"/>
            </w:pPr>
            <w:r>
              <w:rPr>
                <w:sz w:val="19"/>
              </w:rPr>
              <w:t xml:space="preserve">Guan et al. [39]</w:t>
            </w:r>
          </w:p>
        </w:tc>
        <w:tc>
          <w:tcPr>
            <w:tcW w:type="dxa" w:w="2340"/>
          </w:tcPr>
          <w:p>
            <w:pPr>
              <w:pStyle w:val="Compact"/>
              <w:spacing w:line="240" w:lineRule="auto" w:after="40"/>
              <w:jc w:val="left"/>
            </w:pPr>
            <w:r>
              <w:rPr>
                <w:sz w:val="19"/>
              </w:rPr>
              <w:t xml:space="preserve">Sinogram-domain diffusion</w:t>
            </w:r>
          </w:p>
        </w:tc>
        <w:tc>
          <w:tcPr>
            <w:tcW w:type="dxa" w:w="2422"/>
          </w:tcPr>
          <w:p>
            <w:pPr>
              <w:pStyle w:val="Compact"/>
              <w:spacing w:line="240" w:lineRule="auto" w:after="40"/>
              <w:jc w:val="left"/>
            </w:pPr>
            <w:r>
              <w:rPr>
                <w:sz w:val="19"/>
              </w:rPr>
              <w:t xml:space="preserve">Handles varying sparsity</w:t>
            </w:r>
          </w:p>
        </w:tc>
        <w:tc>
          <w:tcPr>
            <w:tcW w:type="dxa" w:w="2822"/>
          </w:tcPr>
          <w:p>
            <w:pPr>
              <w:pStyle w:val="Compact"/>
              <w:spacing w:line="240" w:lineRule="auto" w:after="40"/>
              <w:jc w:val="left"/>
            </w:pPr>
            <w:r>
              <w:rPr>
                <w:sz w:val="19"/>
              </w:rPr>
              <w:t xml:space="preserve">2D; no 3D consistency</w:t>
            </w:r>
          </w:p>
        </w:tc>
      </w:tr>
      <w:tr>
        <w:tc>
          <w:tcPr>
            <w:tcW w:type="dxa" w:w="1445"/>
          </w:tcPr>
          <w:p>
            <w:pPr>
              <w:pStyle w:val="Compact"/>
              <w:spacing w:line="240" w:lineRule="auto" w:after="40"/>
              <w:jc w:val="left"/>
            </w:pPr>
            <w:r>
              <w:rPr>
                <w:sz w:val="19"/>
              </w:rPr>
              <w:t xml:space="preserve">He et al. [43]</w:t>
            </w:r>
          </w:p>
        </w:tc>
        <w:tc>
          <w:tcPr>
            <w:tcW w:type="dxa" w:w="2340"/>
          </w:tcPr>
          <w:p>
            <w:pPr>
              <w:pStyle w:val="Compact"/>
              <w:spacing w:line="240" w:lineRule="auto" w:after="40"/>
              <w:jc w:val="left"/>
            </w:pPr>
            <w:r>
              <w:rPr>
                <w:sz w:val="19"/>
              </w:rPr>
              <w:t xml:space="preserve">Zero-shot variational score solver</w:t>
            </w:r>
          </w:p>
        </w:tc>
        <w:tc>
          <w:tcPr>
            <w:tcW w:type="dxa" w:w="2422"/>
          </w:tcPr>
          <w:p>
            <w:pPr>
              <w:pStyle w:val="Compact"/>
              <w:spacing w:line="240" w:lineRule="auto" w:after="40"/>
              <w:jc w:val="left"/>
            </w:pPr>
            <w:r>
              <w:rPr>
                <w:sz w:val="19"/>
              </w:rPr>
              <w:t xml:space="preserve">No paired data needed</w:t>
            </w:r>
          </w:p>
        </w:tc>
        <w:tc>
          <w:tcPr>
            <w:tcW w:type="dxa" w:w="2822"/>
          </w:tcPr>
          <w:p>
            <w:pPr>
              <w:pStyle w:val="Compact"/>
              <w:spacing w:line="240" w:lineRule="auto" w:after="40"/>
              <w:jc w:val="left"/>
            </w:pPr>
            <w:r>
              <w:rPr>
                <w:sz w:val="19"/>
              </w:rPr>
              <w:t xml:space="preserve">Heavy compute; image metrics only</w:t>
            </w:r>
          </w:p>
        </w:tc>
      </w:tr>
      <w:tr>
        <w:tc>
          <w:tcPr>
            <w:tcW w:type="dxa" w:w="1445"/>
          </w:tcPr>
          <w:p>
            <w:pPr>
              <w:pStyle w:val="Compact"/>
              <w:spacing w:line="240" w:lineRule="auto" w:after="40"/>
              <w:jc w:val="left"/>
            </w:pPr>
            <w:r>
              <w:rPr>
                <w:sz w:val="19"/>
              </w:rPr>
              <w:t xml:space="preserve">Chung et al. [35, 36]</w:t>
            </w:r>
          </w:p>
        </w:tc>
        <w:tc>
          <w:tcPr>
            <w:tcW w:type="dxa" w:w="2340"/>
          </w:tcPr>
          <w:p>
            <w:pPr>
              <w:pStyle w:val="Compact"/>
              <w:spacing w:line="240" w:lineRule="auto" w:after="40"/>
              <w:jc w:val="left"/>
            </w:pPr>
            <w:r>
              <w:rPr>
                <w:sz w:val="19"/>
              </w:rPr>
              <w:t xml:space="preserve">DPS / DDS sampling</w:t>
            </w:r>
          </w:p>
        </w:tc>
        <w:tc>
          <w:tcPr>
            <w:tcW w:type="dxa" w:w="2422"/>
          </w:tcPr>
          <w:p>
            <w:pPr>
              <w:pStyle w:val="Compact"/>
              <w:spacing w:line="240" w:lineRule="auto" w:after="40"/>
              <w:jc w:val="left"/>
            </w:pPr>
            <w:r>
              <w:rPr>
                <w:sz w:val="19"/>
              </w:rPr>
              <w:t xml:space="preserve">Measurement-consistent samples</w:t>
            </w:r>
          </w:p>
        </w:tc>
        <w:tc>
          <w:tcPr>
            <w:tcW w:type="dxa" w:w="2822"/>
          </w:tcPr>
          <w:p>
            <w:pPr>
              <w:pStyle w:val="Compact"/>
              <w:spacing w:line="240" w:lineRule="auto" w:after="40"/>
              <w:jc w:val="left"/>
            </w:pPr>
            <w:r>
              <w:rPr>
                <w:sz w:val="19"/>
              </w:rPr>
              <w:t xml:space="preserve">Not for DTS; not calibrated</w:t>
            </w:r>
          </w:p>
        </w:tc>
      </w:tr>
      <w:tr>
        <w:tc>
          <w:tcPr>
            <w:tcW w:type="dxa" w:w="1445"/>
          </w:tcPr>
          <w:p>
            <w:pPr>
              <w:pStyle w:val="Compact"/>
              <w:spacing w:line="240" w:lineRule="auto" w:after="40"/>
              <w:jc w:val="left"/>
            </w:pPr>
            <w:r>
              <w:rPr>
                <w:sz w:val="19"/>
              </w:rPr>
              <w:t xml:space="preserve">Wang and Guo [44]</w:t>
            </w:r>
          </w:p>
        </w:tc>
        <w:tc>
          <w:tcPr>
            <w:tcW w:type="dxa" w:w="2340"/>
          </w:tcPr>
          <w:p>
            <w:pPr>
              <w:pStyle w:val="Compact"/>
              <w:spacing w:line="240" w:lineRule="auto" w:after="40"/>
              <w:jc w:val="left"/>
            </w:pPr>
            <w:r>
              <w:rPr>
                <w:sz w:val="19"/>
              </w:rPr>
              <w:t xml:space="preserve">Lung CT foundation model</w:t>
            </w:r>
          </w:p>
        </w:tc>
        <w:tc>
          <w:tcPr>
            <w:tcW w:type="dxa" w:w="2422"/>
          </w:tcPr>
          <w:p>
            <w:pPr>
              <w:pStyle w:val="Compact"/>
              <w:spacing w:line="240" w:lineRule="auto" w:after="40"/>
              <w:jc w:val="left"/>
            </w:pPr>
            <w:r>
              <w:rPr>
                <w:sz w:val="19"/>
              </w:rPr>
              <w:t xml:space="preserve">Strong transfer</w:t>
            </w:r>
          </w:p>
        </w:tc>
        <w:tc>
          <w:tcPr>
            <w:tcW w:type="dxa" w:w="2822"/>
          </w:tcPr>
          <w:p>
            <w:pPr>
              <w:pStyle w:val="Compact"/>
              <w:spacing w:line="240" w:lineRule="auto" w:after="40"/>
              <w:jc w:val="left"/>
            </w:pPr>
            <w:r>
              <w:rPr>
                <w:sz w:val="19"/>
              </w:rPr>
              <w:t xml:space="preserve">CT only</w:t>
            </w:r>
          </w:p>
        </w:tc>
      </w:tr>
      <w:tr>
        <w:tc>
          <w:tcPr>
            <w:tcW w:type="dxa" w:w="1445"/>
          </w:tcPr>
          <w:p>
            <w:pPr>
              <w:pStyle w:val="Compact"/>
              <w:spacing w:line="240" w:lineRule="auto" w:after="40"/>
              <w:jc w:val="left"/>
            </w:pPr>
            <w:r>
              <w:rPr>
                <w:sz w:val="19"/>
              </w:rPr>
              <w:t xml:space="preserve">Bhadra et al. [16]</w:t>
            </w:r>
          </w:p>
        </w:tc>
        <w:tc>
          <w:tcPr>
            <w:tcW w:type="dxa" w:w="2340"/>
          </w:tcPr>
          <w:p>
            <w:pPr>
              <w:pStyle w:val="Compact"/>
              <w:spacing w:line="240" w:lineRule="auto" w:after="40"/>
              <w:jc w:val="left"/>
            </w:pPr>
            <w:r>
              <w:rPr>
                <w:sz w:val="19"/>
              </w:rPr>
              <w:t xml:space="preserve">Null-space hallucination maps</w:t>
            </w:r>
          </w:p>
        </w:tc>
        <w:tc>
          <w:tcPr>
            <w:tcW w:type="dxa" w:w="2422"/>
          </w:tcPr>
          <w:p>
            <w:pPr>
              <w:pStyle w:val="Compact"/>
              <w:spacing w:line="240" w:lineRule="auto" w:after="40"/>
              <w:jc w:val="left"/>
            </w:pPr>
            <w:r>
              <w:rPr>
                <w:sz w:val="19"/>
              </w:rPr>
              <w:t xml:space="preserve">Formal definition of hallucination</w:t>
            </w:r>
          </w:p>
        </w:tc>
        <w:tc>
          <w:tcPr>
            <w:tcW w:type="dxa" w:w="2822"/>
          </w:tcPr>
          <w:p>
            <w:pPr>
              <w:pStyle w:val="Compact"/>
              <w:spacing w:line="240" w:lineRule="auto" w:after="40"/>
              <w:jc w:val="left"/>
            </w:pPr>
            <w:r>
              <w:rPr>
                <w:sz w:val="19"/>
              </w:rPr>
              <w:t xml:space="preserve">No truth-referenced skill per nodule</w:t>
            </w:r>
          </w:p>
        </w:tc>
      </w:tr>
      <w:tr>
        <w:tc>
          <w:tcPr>
            <w:tcW w:type="dxa" w:w="1445"/>
          </w:tcPr>
          <w:p>
            <w:pPr>
              <w:pStyle w:val="Compact"/>
              <w:spacing w:line="240" w:lineRule="auto" w:after="40"/>
              <w:jc w:val="left"/>
            </w:pPr>
            <w:r>
              <w:rPr>
                <w:sz w:val="19"/>
              </w:rPr>
              <w:t xml:space="preserve">Zhang et al. [17]</w:t>
            </w:r>
          </w:p>
        </w:tc>
        <w:tc>
          <w:tcPr>
            <w:tcW w:type="dxa" w:w="2340"/>
          </w:tcPr>
          <w:p>
            <w:pPr>
              <w:pStyle w:val="Compact"/>
              <w:spacing w:line="240" w:lineRule="auto" w:after="40"/>
              <w:jc w:val="left"/>
            </w:pPr>
            <w:r>
              <w:rPr>
                <w:sz w:val="19"/>
              </w:rPr>
              <w:t xml:space="preserve">Progressive artifact learning</w:t>
            </w:r>
          </w:p>
        </w:tc>
        <w:tc>
          <w:tcPr>
            <w:tcW w:type="dxa" w:w="2422"/>
          </w:tcPr>
          <w:p>
            <w:pPr>
              <w:pStyle w:val="Compact"/>
              <w:spacing w:line="240" w:lineRule="auto" w:after="40"/>
              <w:jc w:val="left"/>
            </w:pPr>
            <w:r>
              <w:rPr>
                <w:sz w:val="19"/>
              </w:rPr>
              <w:t xml:space="preserve">Fewer false structures</w:t>
            </w:r>
          </w:p>
        </w:tc>
        <w:tc>
          <w:tcPr>
            <w:tcW w:type="dxa" w:w="2822"/>
          </w:tcPr>
          <w:p>
            <w:pPr>
              <w:pStyle w:val="Compact"/>
              <w:spacing w:line="240" w:lineRule="auto" w:after="40"/>
              <w:jc w:val="left"/>
            </w:pPr>
            <w:r>
              <w:rPr>
                <w:sz w:val="19"/>
              </w:rPr>
              <w:t xml:space="preserve">Uncertainty not calibrated</w:t>
            </w:r>
          </w:p>
        </w:tc>
      </w:tr>
      <w:tr>
        <w:tc>
          <w:tcPr>
            <w:tcW w:type="dxa" w:w="1445"/>
          </w:tcPr>
          <w:p>
            <w:pPr>
              <w:pStyle w:val="Compact"/>
              <w:spacing w:line="240" w:lineRule="auto" w:after="40"/>
              <w:jc w:val="left"/>
            </w:pPr>
            <w:r>
              <w:rPr>
                <w:sz w:val="19"/>
              </w:rPr>
              <w:t xml:space="preserve">de Hoop et al. [18]</w:t>
            </w:r>
          </w:p>
        </w:tc>
        <w:tc>
          <w:tcPr>
            <w:tcW w:type="dxa" w:w="2340"/>
          </w:tcPr>
          <w:p>
            <w:pPr>
              <w:pStyle w:val="Compact"/>
              <w:spacing w:line="240" w:lineRule="auto" w:after="40"/>
              <w:jc w:val="left"/>
            </w:pPr>
            <w:r>
              <w:rPr>
                <w:sz w:val="19"/>
              </w:rPr>
              <w:t xml:space="preserve">Nodule mass on CT</w:t>
            </w:r>
          </w:p>
        </w:tc>
        <w:tc>
          <w:tcPr>
            <w:tcW w:type="dxa" w:w="2422"/>
          </w:tcPr>
          <w:p>
            <w:pPr>
              <w:pStyle w:val="Compact"/>
              <w:spacing w:line="240" w:lineRule="auto" w:after="40"/>
              <w:jc w:val="left"/>
            </w:pPr>
            <w:r>
              <w:rPr>
                <w:sz w:val="19"/>
              </w:rPr>
              <w:t xml:space="preserve">Mass detects growth earlier</w:t>
            </w:r>
          </w:p>
        </w:tc>
        <w:tc>
          <w:tcPr>
            <w:tcW w:type="dxa" w:w="2822"/>
          </w:tcPr>
          <w:p>
            <w:pPr>
              <w:pStyle w:val="Compact"/>
              <w:spacing w:line="240" w:lineRule="auto" w:after="40"/>
              <w:jc w:val="left"/>
            </w:pPr>
            <w:r>
              <w:rPr>
                <w:sz w:val="19"/>
              </w:rPr>
              <w:t xml:space="preserve">CT only</w:t>
            </w:r>
          </w:p>
        </w:tc>
      </w:tr>
      <w:tr>
        <w:tc>
          <w:tcPr>
            <w:tcW w:type="dxa" w:w="1445"/>
          </w:tcPr>
          <w:p>
            <w:pPr>
              <w:pStyle w:val="Compact"/>
              <w:spacing w:line="240" w:lineRule="auto" w:after="40"/>
              <w:jc w:val="left"/>
            </w:pPr>
            <w:r>
              <w:rPr>
                <w:sz w:val="19"/>
              </w:rPr>
              <w:t xml:space="preserve">Boström [29]</w:t>
            </w:r>
          </w:p>
        </w:tc>
        <w:tc>
          <w:tcPr>
            <w:tcW w:type="dxa" w:w="2340"/>
          </w:tcPr>
          <w:p>
            <w:pPr>
              <w:pStyle w:val="Compact"/>
              <w:spacing w:line="240" w:lineRule="auto" w:after="40"/>
              <w:jc w:val="left"/>
            </w:pPr>
            <w:r>
              <w:rPr>
                <w:sz w:val="19"/>
              </w:rPr>
              <w:t xml:space="preserve">Conformal predictive systems</w:t>
            </w:r>
          </w:p>
        </w:tc>
        <w:tc>
          <w:tcPr>
            <w:tcW w:type="dxa" w:w="2422"/>
          </w:tcPr>
          <w:p>
            <w:pPr>
              <w:pStyle w:val="Compact"/>
              <w:spacing w:line="240" w:lineRule="auto" w:after="40"/>
              <w:jc w:val="left"/>
            </w:pPr>
            <w:r>
              <w:rPr>
                <w:sz w:val="19"/>
              </w:rPr>
              <w:t xml:space="preserve">Valid CDFs for any regressor</w:t>
            </w:r>
          </w:p>
        </w:tc>
        <w:tc>
          <w:tcPr>
            <w:tcW w:type="dxa" w:w="2822"/>
          </w:tcPr>
          <w:p>
            <w:pPr>
              <w:pStyle w:val="Compact"/>
              <w:spacing w:line="240" w:lineRule="auto" w:after="40"/>
              <w:jc w:val="left"/>
            </w:pPr>
            <w:r>
              <w:rPr>
                <w:sz w:val="19"/>
              </w:rPr>
              <w:t xml:space="preserve">Not applied to imaging biomarkers</w:t>
            </w:r>
          </w:p>
        </w:tc>
      </w:tr>
    </w:tbl>
    <w:bookmarkEnd w:id="54"/>
    <w:bookmarkEnd w:id="55"/>
    <w:bookmarkStart w:id="56" w:name="gap-analysis"/>
    <w:p>
      <w:pPr>
        <w:pStyle w:val="Heading2"/>
      </w:pPr>
      <w:r>
        <w:t xml:space="preserve">2.3 Gap Analysis</w:t>
      </w:r>
    </w:p>
    <w:p>
      <w:pPr>
        <w:pStyle w:val="FirstParagraph"/>
      </w:pPr>
      <w:r>
        <w:t xml:space="preserve">The review shows four gaps. First, DTS research stops at 2D detection and size; no work argues from the projection physics which 3D quantity DTS can measure. Second, generative sparse-view methods target whole CT volumes and image metrics, not a clinical number for one nodule, and none is built for the DTS sweep. Third, Gaussian tomography uses Gaussians for speed, not for closed-form mass. Fourth, reconstruction uncertainty is usually raw variance, which is not calibrated, and explanations of what a prior invented are not checked against the truth. Table 2.3 compares the closest works.</w:t>
      </w:r>
    </w:p>
    <w:p>
      <w:pPr>
        <w:pStyle w:val="BodyText"/>
        <w:jc w:val="center"/>
      </w:pPr>
      <w:r>
        <w:rPr>
          <w:bCs/>
          <w:b/>
          <w:iCs/>
          <w:i/>
          <w:sz w:val="20"/>
        </w:rPr>
        <w:t xml:space="preserve">Table 2.3:</w:t>
      </w:r>
      <w:r>
        <w:rPr>
          <w:iCs/>
          <w:i/>
          <w:sz w:val="20"/>
        </w:rPr>
        <w:t xml:space="preserve"> </w:t>
      </w:r>
      <w:r>
        <w:rPr>
          <w:iCs/>
          <w:i/>
          <w:sz w:val="20"/>
        </w:rPr>
        <w:t xml:space="preserve">Domain comparison: ✓ addressed, ✗ not addressed,</w:t>
      </w:r>
      <w:r>
        <w:rPr>
          <w:iCs/>
          <w:i/>
          <w:sz w:val="20"/>
        </w:rPr>
        <w:t xml:space="preserve"> </w:t>
      </w:r>
      <m:oMath>
        <m:r>
          <m:rPr>
            <m:sty m:val="p"/>
          </m:rPr>
          <m:t>∘</m:t>
        </m:r>
      </m:oMath>
      <w:r>
        <w:rPr>
          <w:iCs/>
          <w:i/>
          <w:sz w:val="20"/>
        </w:rPr>
        <w:t xml:space="preserve"> </w:t>
      </w:r>
      <w:r>
        <w:rPr>
          <w:iCs/>
          <w:i/>
          <w:sz w:val="20"/>
        </w:rPr>
        <w:t xml:space="preserve">partially.</w:t>
      </w:r>
    </w:p>
    <w:tbl>
      <w:tblPr>
        <w:tblStyle w:val="Table"/>
        <w:tblW w:type="auto" w:w="0"/>
        <w:tblLook w:firstRow="1" w:lastRow="0" w:firstColumn="0" w:lastColumn="0" w:noHBand="0" w:noVBand="0" w:val="0020"/>
        <w:jc w:val="start"/>
        <w:tblBorders>
          <w:top w:val="single" w:sz="12" w:color="000000"/>
          <w:bottom w:val="single" w:sz="12" w:color="000000"/>
          <w:insideH w:val="single" w:sz="6" w:color="808080"/>
        </w:tblBorders>
      </w:tblPr>
      <w:tblGrid>
        <w:gridCol w:w="1239"/>
        <w:gridCol w:w="835"/>
        <w:gridCol w:w="848"/>
        <w:gridCol w:w="1148"/>
        <w:gridCol w:w="848"/>
        <w:gridCol w:w="1174"/>
        <w:gridCol w:w="1435"/>
        <w:gridCol w:w="1500"/>
      </w:tblGrid>
      <w:tr>
        <w:trPr>
          <w:tblHeader w:val="true"/>
        </w:trPr>
        <w:tc>
          <w:tcPr>
            <w:tcW w:type="dxa" w:w="1240"/>
          </w:tcPr>
          <w:p>
            <w:pPr>
              <w:pStyle w:val="Compact"/>
              <w:spacing w:line="240" w:lineRule="auto" w:after="40"/>
              <w:jc w:val="left"/>
            </w:pPr>
            <w:r>
              <w:rPr>
                <w:b/>
                <w:sz w:val="19"/>
              </w:rPr>
              <w:t xml:space="preserve">Work</w:t>
            </w:r>
          </w:p>
        </w:tc>
        <w:tc>
          <w:tcPr>
            <w:tcW w:type="dxa" w:w="835"/>
          </w:tcPr>
          <w:p>
            <w:pPr>
              <w:pStyle w:val="Compact"/>
              <w:spacing w:line="240" w:lineRule="auto" w:after="40"/>
              <w:jc w:val="center"/>
            </w:pPr>
            <w:r>
              <w:rPr>
                <w:b/>
                <w:sz w:val="19"/>
              </w:rPr>
              <w:t xml:space="preserve">DTS geometry</w:t>
            </w:r>
          </w:p>
        </w:tc>
        <w:tc>
          <w:tcPr>
            <w:tcW w:type="dxa" w:w="848"/>
          </w:tcPr>
          <w:p>
            <w:pPr>
              <w:pStyle w:val="Compact"/>
              <w:spacing w:line="240" w:lineRule="auto" w:after="40"/>
              <w:jc w:val="center"/>
            </w:pPr>
            <w:r>
              <w:rPr>
                <w:b/>
                <w:sz w:val="19"/>
              </w:rPr>
              <w:t xml:space="preserve">Learned prior</w:t>
            </w:r>
          </w:p>
        </w:tc>
        <w:tc>
          <w:tcPr>
            <w:tcW w:type="dxa" w:w="1148"/>
          </w:tcPr>
          <w:p>
            <w:pPr>
              <w:pStyle w:val="Compact"/>
              <w:spacing w:line="240" w:lineRule="auto" w:after="40"/>
              <w:jc w:val="center"/>
            </w:pPr>
            <w:r>
              <w:rPr>
                <w:b/>
                <w:sz w:val="19"/>
              </w:rPr>
              <w:t xml:space="preserve">Data consistency</w:t>
            </w:r>
          </w:p>
        </w:tc>
        <w:tc>
          <w:tcPr>
            <w:tcW w:type="dxa" w:w="848"/>
          </w:tcPr>
          <w:p>
            <w:pPr>
              <w:pStyle w:val="Compact"/>
              <w:spacing w:line="240" w:lineRule="auto" w:after="40"/>
              <w:jc w:val="center"/>
            </w:pPr>
            <w:r>
              <w:rPr>
                <w:b/>
                <w:sz w:val="19"/>
              </w:rPr>
              <w:t xml:space="preserve">Gaussian mass</w:t>
            </w:r>
          </w:p>
        </w:tc>
        <w:tc>
          <w:tcPr>
            <w:tcW w:type="dxa" w:w="1174"/>
          </w:tcPr>
          <w:p>
            <w:pPr>
              <w:pStyle w:val="Compact"/>
              <w:spacing w:line="240" w:lineRule="auto" w:after="40"/>
              <w:jc w:val="center"/>
            </w:pPr>
            <w:r>
              <w:rPr>
                <w:b/>
                <w:sz w:val="19"/>
              </w:rPr>
              <w:t xml:space="preserve">Clinical biomarker</w:t>
            </w:r>
          </w:p>
        </w:tc>
        <w:tc>
          <w:tcPr>
            <w:tcW w:type="dxa" w:w="1435"/>
          </w:tcPr>
          <w:p>
            <w:pPr>
              <w:pStyle w:val="Compact"/>
              <w:spacing w:line="240" w:lineRule="auto" w:after="40"/>
              <w:jc w:val="center"/>
            </w:pPr>
            <w:r>
              <w:rPr>
                <w:b/>
                <w:sz w:val="19"/>
              </w:rPr>
              <w:t xml:space="preserve">Calibrated uncertainty</w:t>
            </w:r>
          </w:p>
        </w:tc>
        <w:tc>
          <w:tcPr>
            <w:tcW w:type="dxa" w:w="1500"/>
          </w:tcPr>
          <w:p>
            <w:pPr>
              <w:pStyle w:val="Compact"/>
              <w:spacing w:line="240" w:lineRule="auto" w:after="40"/>
              <w:jc w:val="center"/>
            </w:pPr>
            <w:r>
              <w:rPr>
                <w:b/>
                <w:sz w:val="19"/>
              </w:rPr>
              <w:t xml:space="preserve">Seen/unseen explanation</w:t>
            </w:r>
          </w:p>
        </w:tc>
      </w:tr>
      <w:tr>
        <w:tc>
          <w:tcPr>
            <w:tcW w:type="dxa" w:w="1240"/>
          </w:tcPr>
          <w:p>
            <w:pPr>
              <w:pStyle w:val="Compact"/>
              <w:spacing w:line="240" w:lineRule="auto" w:after="40"/>
              <w:jc w:val="left"/>
            </w:pPr>
            <w:r>
              <w:rPr>
                <w:sz w:val="19"/>
              </w:rPr>
              <w:t xml:space="preserve">Li et al. [38]</w:t>
            </w:r>
          </w:p>
        </w:tc>
        <w:tc>
          <w:tcPr>
            <w:tcW w:type="dxa" w:w="835"/>
          </w:tcPr>
          <w:p>
            <w:pPr>
              <w:pStyle w:val="Compact"/>
              <w:spacing w:line="240" w:lineRule="auto" w:after="40"/>
              <w:jc w:val="center"/>
            </w:pPr>
            <w:r>
              <w:rPr>
                <w:sz w:val="19"/>
              </w:rPr>
              <w:t xml:space="preserve">✗</w:t>
            </w:r>
          </w:p>
        </w:tc>
        <w:tc>
          <w:tcPr>
            <w:tcW w:type="dxa" w:w="848"/>
          </w:tcPr>
          <w:p>
            <w:pPr>
              <w:pStyle w:val="Compact"/>
              <w:spacing w:line="240" w:lineRule="auto" w:after="40"/>
              <w:jc w:val="center"/>
            </w:pPr>
            <w:r>
              <w:rPr>
                <w:sz w:val="19"/>
              </w:rPr>
              <w:t xml:space="preserve">✗</w:t>
            </w:r>
          </w:p>
        </w:tc>
        <w:tc>
          <w:tcPr>
            <w:tcW w:type="dxa" w:w="1148"/>
          </w:tcPr>
          <w:p>
            <w:pPr>
              <w:pStyle w:val="Compact"/>
              <w:spacing w:line="240" w:lineRule="auto" w:after="40"/>
              <w:jc w:val="center"/>
            </w:pPr>
            <w:r>
              <w:rPr>
                <w:sz w:val="19"/>
              </w:rPr>
              <w:t xml:space="preserve">✓</w:t>
            </w:r>
          </w:p>
        </w:tc>
        <w:tc>
          <w:tcPr>
            <w:tcW w:type="dxa" w:w="848"/>
          </w:tcPr>
          <w:p>
            <w:pPr>
              <w:pStyle w:val="Compact"/>
              <w:spacing w:line="240" w:lineRule="auto" w:after="40"/>
              <w:jc w:val="center"/>
            </w:pPr>
            <w:r>
              <w:rPr>
                <w:sz w:val="19"/>
              </w:rPr>
              <w:t xml:space="preserve">✗</w:t>
            </w:r>
          </w:p>
        </w:tc>
        <w:tc>
          <w:tcPr>
            <w:tcW w:type="dxa" w:w="1174"/>
          </w:tcPr>
          <w:p>
            <w:pPr>
              <w:pStyle w:val="Compact"/>
              <w:spacing w:line="240" w:lineRule="auto" w:after="40"/>
              <w:jc w:val="center"/>
            </w:pPr>
            <w:r>
              <w:rPr>
                <w:sz w:val="19"/>
              </w:rPr>
              <w:t xml:space="preserve">✗</w:t>
            </w:r>
          </w:p>
        </w:tc>
        <w:tc>
          <w:tcPr>
            <w:tcW w:type="dxa" w:w="1435"/>
          </w:tcPr>
          <w:p>
            <w:pPr>
              <w:pStyle w:val="Compact"/>
              <w:spacing w:line="240" w:lineRule="auto" w:after="40"/>
              <w:jc w:val="center"/>
            </w:pPr>
            <w:r>
              <w:rPr>
                <w:sz w:val="19"/>
              </w:rPr>
              <w:t xml:space="preserve">✗</w:t>
            </w:r>
          </w:p>
        </w:tc>
        <w:tc>
          <w:tcPr>
            <w:tcW w:type="dxa" w:w="1500"/>
          </w:tcPr>
          <w:p>
            <w:pPr>
              <w:pStyle w:val="Compact"/>
              <w:spacing w:line="240" w:lineRule="auto" w:after="40"/>
              <w:jc w:val="center"/>
            </w:pPr>
            <w:r>
              <w:rPr>
                <w:sz w:val="19"/>
              </w:rPr>
              <w:t xml:space="preserve">✗</w:t>
            </w:r>
          </w:p>
        </w:tc>
      </w:tr>
      <w:tr>
        <w:tc>
          <w:tcPr>
            <w:tcW w:type="dxa" w:w="1240"/>
          </w:tcPr>
          <w:p>
            <w:pPr>
              <w:pStyle w:val="Compact"/>
              <w:spacing w:line="240" w:lineRule="auto" w:after="40"/>
              <w:jc w:val="left"/>
            </w:pPr>
            <w:r>
              <w:rPr>
                <w:sz w:val="19"/>
              </w:rPr>
              <w:t xml:space="preserve">Zha et al. [26]</w:t>
            </w:r>
          </w:p>
        </w:tc>
        <w:tc>
          <w:tcPr>
            <w:tcW w:type="dxa" w:w="835"/>
          </w:tcPr>
          <w:p>
            <w:pPr>
              <w:pStyle w:val="Compact"/>
              <w:spacing w:line="240" w:lineRule="auto" w:after="40"/>
              <w:jc w:val="center"/>
            </w:pPr>
            <w:r>
              <w:rPr>
                <w:sz w:val="19"/>
              </w:rPr>
              <w:t xml:space="preserve">✗</w:t>
            </w:r>
          </w:p>
        </w:tc>
        <w:tc>
          <w:tcPr>
            <w:tcW w:type="dxa" w:w="848"/>
          </w:tcPr>
          <w:p>
            <w:pPr>
              <w:pStyle w:val="Compact"/>
              <w:spacing w:line="240" w:lineRule="auto" w:after="40"/>
              <w:jc w:val="center"/>
            </w:pPr>
            <w:r>
              <w:rPr>
                <w:sz w:val="19"/>
              </w:rPr>
              <w:t xml:space="preserve">✗</w:t>
            </w:r>
          </w:p>
        </w:tc>
        <w:tc>
          <w:tcPr>
            <w:tcW w:type="dxa" w:w="1148"/>
          </w:tcPr>
          <w:p>
            <w:pPr>
              <w:pStyle w:val="Compact"/>
              <w:spacing w:line="240" w:lineRule="auto" w:after="40"/>
              <w:jc w:val="center"/>
            </w:pPr>
            <w:r>
              <w:rPr>
                <w:sz w:val="19"/>
              </w:rPr>
              <w:t xml:space="preserve">✓</w:t>
            </w:r>
          </w:p>
        </w:tc>
        <w:tc>
          <w:tcPr>
            <w:tcW w:type="dxa" w:w="848"/>
          </w:tcPr>
          <w:p>
            <w:pPr>
              <w:pStyle w:val="Compact"/>
              <w:spacing w:line="240" w:lineRule="auto" w:after="40"/>
              <w:jc w:val="center"/>
            </w:pPr>
            <w:r>
              <w:rPr>
                <w:sz w:val="19"/>
              </w:rPr>
              <w:t xml:space="preserve">✗</w:t>
            </w:r>
          </w:p>
        </w:tc>
        <w:tc>
          <w:tcPr>
            <w:tcW w:type="dxa" w:w="1174"/>
          </w:tcPr>
          <w:p>
            <w:pPr>
              <w:pStyle w:val="Compact"/>
              <w:spacing w:line="240" w:lineRule="auto" w:after="40"/>
              <w:jc w:val="center"/>
            </w:pPr>
            <w:r>
              <w:rPr>
                <w:sz w:val="19"/>
              </w:rPr>
              <w:t xml:space="preserve">✗</w:t>
            </w:r>
          </w:p>
        </w:tc>
        <w:tc>
          <w:tcPr>
            <w:tcW w:type="dxa" w:w="1435"/>
          </w:tcPr>
          <w:p>
            <w:pPr>
              <w:pStyle w:val="Compact"/>
              <w:spacing w:line="240" w:lineRule="auto" w:after="40"/>
              <w:jc w:val="center"/>
            </w:pPr>
            <w:r>
              <w:rPr>
                <w:sz w:val="19"/>
              </w:rPr>
              <w:t xml:space="preserve">✗</w:t>
            </w:r>
          </w:p>
        </w:tc>
        <w:tc>
          <w:tcPr>
            <w:tcW w:type="dxa" w:w="1500"/>
          </w:tcPr>
          <w:p>
            <w:pPr>
              <w:pStyle w:val="Compact"/>
              <w:spacing w:line="240" w:lineRule="auto" w:after="40"/>
              <w:jc w:val="center"/>
            </w:pPr>
            <w:r>
              <w:rPr>
                <w:sz w:val="19"/>
              </w:rPr>
              <w:t xml:space="preserve">✗</w:t>
            </w:r>
          </w:p>
        </w:tc>
      </w:tr>
      <w:tr>
        <w:tc>
          <w:tcPr>
            <w:tcW w:type="dxa" w:w="1240"/>
          </w:tcPr>
          <w:p>
            <w:pPr>
              <w:pStyle w:val="Compact"/>
              <w:spacing w:line="240" w:lineRule="auto" w:after="40"/>
              <w:jc w:val="left"/>
            </w:pPr>
            <w:r>
              <w:rPr>
                <w:sz w:val="19"/>
              </w:rPr>
              <w:t xml:space="preserve">He et al. [43]</w:t>
            </w:r>
          </w:p>
        </w:tc>
        <w:tc>
          <w:tcPr>
            <w:tcW w:type="dxa" w:w="835"/>
          </w:tcPr>
          <w:p>
            <w:pPr>
              <w:pStyle w:val="Compact"/>
              <w:spacing w:line="240" w:lineRule="auto" w:after="40"/>
              <w:jc w:val="center"/>
            </w:pPr>
            <w:r>
              <w:rPr>
                <w:sz w:val="19"/>
              </w:rPr>
              <w:t xml:space="preserve">✗</w:t>
            </w:r>
          </w:p>
        </w:tc>
        <w:tc>
          <w:tcPr>
            <w:tcW w:type="dxa" w:w="848"/>
          </w:tcPr>
          <w:p>
            <w:pPr>
              <w:pStyle w:val="Compact"/>
              <w:spacing w:line="240" w:lineRule="auto" w:after="40"/>
              <w:jc w:val="center"/>
            </w:pPr>
            <w:r>
              <w:rPr>
                <w:sz w:val="19"/>
              </w:rPr>
              <w:t xml:space="preserve">✓</w:t>
            </w:r>
          </w:p>
        </w:tc>
        <w:tc>
          <w:tcPr>
            <w:tcW w:type="dxa" w:w="1148"/>
          </w:tcPr>
          <w:p>
            <w:pPr>
              <w:pStyle w:val="Compact"/>
              <w:spacing w:line="240" w:lineRule="auto" w:after="40"/>
              <w:jc w:val="center"/>
            </w:pPr>
            <w:r>
              <w:rPr>
                <w:sz w:val="19"/>
              </w:rPr>
              <w:t xml:space="preserve">✓</w:t>
            </w:r>
          </w:p>
        </w:tc>
        <w:tc>
          <w:tcPr>
            <w:tcW w:type="dxa" w:w="848"/>
          </w:tcPr>
          <w:p>
            <w:pPr>
              <w:pStyle w:val="Compact"/>
              <w:spacing w:line="240" w:lineRule="auto" w:after="40"/>
              <w:jc w:val="center"/>
            </w:pPr>
            <w:r>
              <w:rPr>
                <w:sz w:val="19"/>
              </w:rPr>
              <w:t xml:space="preserve">✗</w:t>
            </w:r>
          </w:p>
        </w:tc>
        <w:tc>
          <w:tcPr>
            <w:tcW w:type="dxa" w:w="1174"/>
          </w:tcPr>
          <w:p>
            <w:pPr>
              <w:pStyle w:val="Compact"/>
              <w:spacing w:line="240" w:lineRule="auto" w:after="40"/>
              <w:jc w:val="center"/>
            </w:pPr>
            <w:r>
              <w:rPr>
                <w:sz w:val="19"/>
              </w:rPr>
              <w:t xml:space="preserve">✗</w:t>
            </w:r>
          </w:p>
        </w:tc>
        <w:tc>
          <w:tcPr>
            <w:tcW w:type="dxa" w:w="1435"/>
          </w:tcPr>
          <w:p>
            <w:pPr>
              <w:pStyle w:val="Compact"/>
              <w:spacing w:line="240" w:lineRule="auto" w:after="40"/>
              <w:jc w:val="center"/>
            </w:pPr>
            <w:r>
              <w:rPr>
                <w:sz w:val="19"/>
              </w:rPr>
              <w:t xml:space="preserve">✗</w:t>
            </w:r>
          </w:p>
        </w:tc>
        <w:tc>
          <w:tcPr>
            <w:tcW w:type="dxa" w:w="1500"/>
          </w:tcPr>
          <w:p>
            <w:pPr>
              <w:pStyle w:val="Compact"/>
              <w:spacing w:line="240" w:lineRule="auto" w:after="40"/>
              <w:jc w:val="center"/>
            </w:pPr>
            <w:r>
              <w:rPr>
                <w:sz w:val="19"/>
              </w:rPr>
              <w:t xml:space="preserve">✗</w:t>
            </w:r>
          </w:p>
        </w:tc>
      </w:tr>
      <w:tr>
        <w:tc>
          <w:tcPr>
            <w:tcW w:type="dxa" w:w="1240"/>
          </w:tcPr>
          <w:p>
            <w:pPr>
              <w:pStyle w:val="Compact"/>
              <w:spacing w:line="240" w:lineRule="auto" w:after="40"/>
              <w:jc w:val="left"/>
            </w:pPr>
            <w:r>
              <w:rPr>
                <w:sz w:val="19"/>
              </w:rPr>
              <w:t xml:space="preserve">Chung et al. [35]</w:t>
            </w:r>
          </w:p>
        </w:tc>
        <w:tc>
          <w:tcPr>
            <w:tcW w:type="dxa" w:w="835"/>
          </w:tcPr>
          <w:p>
            <w:pPr>
              <w:pStyle w:val="Compact"/>
              <w:spacing w:line="240" w:lineRule="auto" w:after="40"/>
              <w:jc w:val="center"/>
            </w:pPr>
            <w:r>
              <w:rPr>
                <w:sz w:val="19"/>
              </w:rPr>
              <w:t xml:space="preserve">✗</w:t>
            </w:r>
          </w:p>
        </w:tc>
        <w:tc>
          <w:tcPr>
            <w:tcW w:type="dxa" w:w="848"/>
          </w:tcPr>
          <w:p>
            <w:pPr>
              <w:pStyle w:val="Compact"/>
              <w:spacing w:line="240" w:lineRule="auto" w:after="40"/>
              <w:jc w:val="center"/>
            </w:pPr>
            <w:r>
              <w:rPr>
                <w:sz w:val="19"/>
              </w:rPr>
              <w:t xml:space="preserve">✓</w:t>
            </w:r>
          </w:p>
        </w:tc>
        <w:tc>
          <w:tcPr>
            <w:tcW w:type="dxa" w:w="1148"/>
          </w:tcPr>
          <w:p>
            <w:pPr>
              <w:pStyle w:val="Compact"/>
              <w:spacing w:line="240" w:lineRule="auto" w:after="40"/>
              <w:jc w:val="center"/>
            </w:pPr>
            <w:r>
              <w:rPr>
                <w:sz w:val="19"/>
              </w:rPr>
              <w:t xml:space="preserve">✓</w:t>
            </w:r>
          </w:p>
        </w:tc>
        <w:tc>
          <w:tcPr>
            <w:tcW w:type="dxa" w:w="848"/>
          </w:tcPr>
          <w:p>
            <w:pPr>
              <w:pStyle w:val="Compact"/>
              <w:spacing w:line="240" w:lineRule="auto" w:after="40"/>
              <w:jc w:val="center"/>
            </w:pPr>
            <w:r>
              <w:rPr>
                <w:sz w:val="19"/>
              </w:rPr>
              <w:t xml:space="preserve">✗</w:t>
            </w:r>
          </w:p>
        </w:tc>
        <w:tc>
          <w:tcPr>
            <w:tcW w:type="dxa" w:w="1174"/>
          </w:tcPr>
          <w:p>
            <w:pPr>
              <w:pStyle w:val="Compact"/>
              <w:spacing w:line="240" w:lineRule="auto" w:after="40"/>
              <w:jc w:val="center"/>
            </w:pPr>
            <w:r>
              <w:rPr>
                <w:sz w:val="19"/>
              </w:rPr>
              <w:t xml:space="preserve">✗</w:t>
            </w:r>
          </w:p>
        </w:tc>
        <w:tc>
          <w:tcPr>
            <w:tcW w:type="dxa" w:w="1435"/>
          </w:tcPr>
          <w:p>
            <w:pPr>
              <w:pStyle w:val="Compact"/>
              <w:spacing w:line="240" w:lineRule="auto" w:after="40"/>
              <w:jc w:val="center"/>
            </w:pPr>
            <w:r>
              <w:rPr>
                <w:sz w:val="19"/>
              </w:rPr>
              <w:t xml:space="preserve">✗</w:t>
            </w:r>
          </w:p>
        </w:tc>
        <w:tc>
          <w:tcPr>
            <w:tcW w:type="dxa" w:w="1500"/>
          </w:tcPr>
          <w:p>
            <w:pPr>
              <w:pStyle w:val="Compact"/>
              <w:spacing w:line="240" w:lineRule="auto" w:after="40"/>
              <w:jc w:val="center"/>
            </w:pPr>
            <w:r>
              <w:rPr>
                <w:sz w:val="19"/>
              </w:rPr>
              <w:t xml:space="preserve">✗</w:t>
            </w:r>
          </w:p>
        </w:tc>
      </w:tr>
      <w:tr>
        <w:tc>
          <w:tcPr>
            <w:tcW w:type="dxa" w:w="1240"/>
          </w:tcPr>
          <w:p>
            <w:pPr>
              <w:pStyle w:val="Compact"/>
              <w:spacing w:line="240" w:lineRule="auto" w:after="40"/>
              <w:jc w:val="left"/>
            </w:pPr>
            <w:r>
              <w:rPr>
                <w:sz w:val="19"/>
              </w:rPr>
              <w:t xml:space="preserve">Zhang et al. [17]</w:t>
            </w:r>
          </w:p>
        </w:tc>
        <w:tc>
          <w:tcPr>
            <w:tcW w:type="dxa" w:w="835"/>
          </w:tcPr>
          <w:p>
            <w:pPr>
              <w:pStyle w:val="Compact"/>
              <w:spacing w:line="240" w:lineRule="auto" w:after="40"/>
              <w:jc w:val="center"/>
            </w:pPr>
            <w:r>
              <w:rPr>
                <w:sz w:val="19"/>
              </w:rPr>
              <w:t xml:space="preserve">✗</w:t>
            </w:r>
          </w:p>
        </w:tc>
        <w:tc>
          <w:tcPr>
            <w:tcW w:type="dxa" w:w="848"/>
          </w:tcPr>
          <w:p>
            <w:pPr>
              <w:pStyle w:val="Compact"/>
              <w:spacing w:line="240" w:lineRule="auto" w:after="40"/>
              <w:jc w:val="center"/>
            </w:pPr>
            <w:r>
              <w:rPr>
                <w:sz w:val="19"/>
              </w:rPr>
              <w:t xml:space="preserve">✓</w:t>
            </w:r>
          </w:p>
        </w:tc>
        <w:tc>
          <w:tcPr>
            <w:tcW w:type="dxa" w:w="1148"/>
          </w:tcPr>
          <w:p>
            <w:pPr>
              <w:pStyle w:val="Compact"/>
              <w:spacing w:line="240" w:lineRule="auto" w:after="40"/>
              <w:jc w:val="center"/>
            </w:pPr>
            <w:r>
              <w:rPr>
                <w:sz w:val="19"/>
              </w:rPr>
              <w:t xml:space="preserve">✓</w:t>
            </w:r>
          </w:p>
        </w:tc>
        <w:tc>
          <w:tcPr>
            <w:tcW w:type="dxa" w:w="848"/>
          </w:tcPr>
          <w:p>
            <w:pPr>
              <w:pStyle w:val="Compact"/>
              <w:spacing w:line="240" w:lineRule="auto" w:after="40"/>
              <w:jc w:val="center"/>
            </w:pPr>
            <w:r>
              <w:rPr>
                <w:sz w:val="19"/>
              </w:rPr>
              <w:t xml:space="preserve">✗</w:t>
            </w:r>
          </w:p>
        </w:tc>
        <w:tc>
          <w:tcPr>
            <w:tcW w:type="dxa" w:w="1174"/>
          </w:tcPr>
          <w:p>
            <w:pPr>
              <w:pStyle w:val="Compact"/>
              <w:spacing w:line="240" w:lineRule="auto" w:after="40"/>
              <w:jc w:val="center"/>
            </w:pPr>
            <w:r>
              <w:rPr>
                <w:sz w:val="19"/>
              </w:rPr>
              <w:t xml:space="preserve">✗</w:t>
            </w:r>
          </w:p>
        </w:tc>
        <w:tc>
          <w:tcPr>
            <w:tcW w:type="dxa" w:w="1435"/>
          </w:tcPr>
          <w:p>
            <w:pPr>
              <w:pStyle w:val="Compact"/>
              <w:spacing w:line="240" w:lineRule="auto" w:after="40"/>
              <w:jc w:val="center"/>
            </w:pPr>
            <m:oMath>
              <m:r>
                <m:rPr>
                  <m:sty m:val="p"/>
                </m:rPr>
                <m:t>∘</m:t>
              </m:r>
            </m:oMath>
          </w:p>
        </w:tc>
        <w:tc>
          <w:tcPr>
            <w:tcW w:type="dxa" w:w="1500"/>
          </w:tcPr>
          <w:p>
            <w:pPr>
              <w:pStyle w:val="Compact"/>
              <w:spacing w:line="240" w:lineRule="auto" w:after="40"/>
              <w:jc w:val="center"/>
            </w:pPr>
            <w:r>
              <w:rPr>
                <w:sz w:val="19"/>
              </w:rPr>
              <w:t xml:space="preserve">✗</w:t>
            </w:r>
          </w:p>
        </w:tc>
      </w:tr>
      <w:tr>
        <w:tc>
          <w:tcPr>
            <w:tcW w:type="dxa" w:w="1240"/>
          </w:tcPr>
          <w:p>
            <w:pPr>
              <w:pStyle w:val="Compact"/>
              <w:spacing w:line="240" w:lineRule="auto" w:after="40"/>
              <w:jc w:val="left"/>
            </w:pPr>
            <w:r>
              <w:rPr>
                <w:sz w:val="19"/>
              </w:rPr>
              <w:t xml:space="preserve">Bhadra et al. [16]</w:t>
            </w:r>
          </w:p>
        </w:tc>
        <w:tc>
          <w:tcPr>
            <w:tcW w:type="dxa" w:w="835"/>
          </w:tcPr>
          <w:p>
            <w:pPr>
              <w:pStyle w:val="Compact"/>
              <w:spacing w:line="240" w:lineRule="auto" w:after="40"/>
              <w:jc w:val="center"/>
            </w:pPr>
            <w:r>
              <w:rPr>
                <w:sz w:val="19"/>
              </w:rPr>
              <w:t xml:space="preserve">✗</w:t>
            </w:r>
          </w:p>
        </w:tc>
        <w:tc>
          <w:tcPr>
            <w:tcW w:type="dxa" w:w="848"/>
          </w:tcPr>
          <w:p>
            <w:pPr>
              <w:pStyle w:val="Compact"/>
              <w:spacing w:line="240" w:lineRule="auto" w:after="40"/>
              <w:jc w:val="center"/>
            </w:pPr>
            <w:r>
              <w:rPr>
                <w:sz w:val="19"/>
              </w:rPr>
              <w:t xml:space="preserve">✗</w:t>
            </w:r>
          </w:p>
        </w:tc>
        <w:tc>
          <w:tcPr>
            <w:tcW w:type="dxa" w:w="1148"/>
          </w:tcPr>
          <w:p>
            <w:pPr>
              <w:pStyle w:val="Compact"/>
              <w:spacing w:line="240" w:lineRule="auto" w:after="40"/>
              <w:jc w:val="center"/>
            </w:pPr>
            <w:r>
              <w:rPr>
                <w:sz w:val="19"/>
              </w:rPr>
              <w:t xml:space="preserve">–</w:t>
            </w:r>
          </w:p>
        </w:tc>
        <w:tc>
          <w:tcPr>
            <w:tcW w:type="dxa" w:w="848"/>
          </w:tcPr>
          <w:p>
            <w:pPr>
              <w:pStyle w:val="Compact"/>
              <w:spacing w:line="240" w:lineRule="auto" w:after="40"/>
              <w:jc w:val="center"/>
            </w:pPr>
            <w:r>
              <w:rPr>
                <w:sz w:val="19"/>
              </w:rPr>
              <w:t xml:space="preserve">✗</w:t>
            </w:r>
          </w:p>
        </w:tc>
        <w:tc>
          <w:tcPr>
            <w:tcW w:type="dxa" w:w="1174"/>
          </w:tcPr>
          <w:p>
            <w:pPr>
              <w:pStyle w:val="Compact"/>
              <w:spacing w:line="240" w:lineRule="auto" w:after="40"/>
              <w:jc w:val="center"/>
            </w:pPr>
            <w:r>
              <w:rPr>
                <w:sz w:val="19"/>
              </w:rPr>
              <w:t xml:space="preserve">✗</w:t>
            </w:r>
          </w:p>
        </w:tc>
        <w:tc>
          <w:tcPr>
            <w:tcW w:type="dxa" w:w="1435"/>
          </w:tcPr>
          <w:p>
            <w:pPr>
              <w:pStyle w:val="Compact"/>
              <w:spacing w:line="240" w:lineRule="auto" w:after="40"/>
              <w:jc w:val="center"/>
            </w:pPr>
            <w:r>
              <w:rPr>
                <w:sz w:val="19"/>
              </w:rPr>
              <w:t xml:space="preserve">✗</w:t>
            </w:r>
          </w:p>
        </w:tc>
        <w:tc>
          <w:tcPr>
            <w:tcW w:type="dxa" w:w="1500"/>
          </w:tcPr>
          <w:p>
            <w:pPr>
              <w:pStyle w:val="Compact"/>
              <w:spacing w:line="240" w:lineRule="auto" w:after="40"/>
              <w:jc w:val="center"/>
            </w:pPr>
            <w:r>
              <w:rPr>
                <w:sz w:val="19"/>
              </w:rPr>
              <w:t xml:space="preserve">✓</w:t>
            </w:r>
          </w:p>
        </w:tc>
      </w:tr>
      <w:tr>
        <w:tc>
          <w:tcPr>
            <w:tcW w:type="dxa" w:w="1240"/>
          </w:tcPr>
          <w:p>
            <w:pPr>
              <w:pStyle w:val="Compact"/>
              <w:spacing w:line="240" w:lineRule="auto" w:after="40"/>
              <w:jc w:val="left"/>
            </w:pPr>
            <w:r>
              <w:rPr>
                <w:sz w:val="19"/>
              </w:rPr>
              <w:t xml:space="preserve">de Hoop et al. [18]</w:t>
            </w:r>
          </w:p>
        </w:tc>
        <w:tc>
          <w:tcPr>
            <w:tcW w:type="dxa" w:w="835"/>
          </w:tcPr>
          <w:p>
            <w:pPr>
              <w:pStyle w:val="Compact"/>
              <w:spacing w:line="240" w:lineRule="auto" w:after="40"/>
              <w:jc w:val="center"/>
            </w:pPr>
            <w:r>
              <w:rPr>
                <w:sz w:val="19"/>
              </w:rPr>
              <w:t xml:space="preserve">✗</w:t>
            </w:r>
          </w:p>
        </w:tc>
        <w:tc>
          <w:tcPr>
            <w:tcW w:type="dxa" w:w="848"/>
          </w:tcPr>
          <w:p>
            <w:pPr>
              <w:pStyle w:val="Compact"/>
              <w:spacing w:line="240" w:lineRule="auto" w:after="40"/>
              <w:jc w:val="center"/>
            </w:pPr>
            <w:r>
              <w:rPr>
                <w:sz w:val="19"/>
              </w:rPr>
              <w:t xml:space="preserve">✗</w:t>
            </w:r>
          </w:p>
        </w:tc>
        <w:tc>
          <w:tcPr>
            <w:tcW w:type="dxa" w:w="1148"/>
          </w:tcPr>
          <w:p>
            <w:pPr>
              <w:pStyle w:val="Compact"/>
              <w:spacing w:line="240" w:lineRule="auto" w:after="40"/>
              <w:jc w:val="center"/>
            </w:pPr>
            <w:r>
              <w:rPr>
                <w:sz w:val="19"/>
              </w:rPr>
              <w:t xml:space="preserve">–</w:t>
            </w:r>
          </w:p>
        </w:tc>
        <w:tc>
          <w:tcPr>
            <w:tcW w:type="dxa" w:w="848"/>
          </w:tcPr>
          <w:p>
            <w:pPr>
              <w:pStyle w:val="Compact"/>
              <w:spacing w:line="240" w:lineRule="auto" w:after="40"/>
              <w:jc w:val="center"/>
            </w:pPr>
            <w:r>
              <w:rPr>
                <w:sz w:val="19"/>
              </w:rPr>
              <w:t xml:space="preserve">✗</w:t>
            </w:r>
          </w:p>
        </w:tc>
        <w:tc>
          <w:tcPr>
            <w:tcW w:type="dxa" w:w="1174"/>
          </w:tcPr>
          <w:p>
            <w:pPr>
              <w:pStyle w:val="Compact"/>
              <w:spacing w:line="240" w:lineRule="auto" w:after="40"/>
              <w:jc w:val="center"/>
            </w:pPr>
            <w:r>
              <w:rPr>
                <w:sz w:val="19"/>
              </w:rPr>
              <w:t xml:space="preserve">✓</w:t>
            </w:r>
          </w:p>
        </w:tc>
        <w:tc>
          <w:tcPr>
            <w:tcW w:type="dxa" w:w="1435"/>
          </w:tcPr>
          <w:p>
            <w:pPr>
              <w:pStyle w:val="Compact"/>
              <w:spacing w:line="240" w:lineRule="auto" w:after="40"/>
              <w:jc w:val="center"/>
            </w:pPr>
            <w:r>
              <w:rPr>
                <w:sz w:val="19"/>
              </w:rPr>
              <w:t xml:space="preserve">✗</w:t>
            </w:r>
          </w:p>
        </w:tc>
        <w:tc>
          <w:tcPr>
            <w:tcW w:type="dxa" w:w="1500"/>
          </w:tcPr>
          <w:p>
            <w:pPr>
              <w:pStyle w:val="Compact"/>
              <w:spacing w:line="240" w:lineRule="auto" w:after="40"/>
              <w:jc w:val="center"/>
            </w:pPr>
            <w:r>
              <w:rPr>
                <w:sz w:val="19"/>
              </w:rPr>
              <w:t xml:space="preserve">✗</w:t>
            </w:r>
          </w:p>
        </w:tc>
      </w:tr>
      <w:tr>
        <w:tc>
          <w:tcPr>
            <w:tcW w:type="dxa" w:w="1240"/>
          </w:tcPr>
          <w:p>
            <w:pPr>
              <w:pStyle w:val="Compact"/>
              <w:spacing w:line="240" w:lineRule="auto" w:after="40"/>
              <w:jc w:val="left"/>
            </w:pPr>
            <w:r>
              <w:rPr>
                <w:bCs/>
                <w:b/>
                <w:sz w:val="19"/>
              </w:rPr>
              <w:t xml:space="preserve">MedLift-3D</w:t>
            </w:r>
          </w:p>
        </w:tc>
        <w:tc>
          <w:tcPr>
            <w:tcW w:type="dxa" w:w="835"/>
          </w:tcPr>
          <w:p>
            <w:pPr>
              <w:pStyle w:val="Compact"/>
              <w:spacing w:line="240" w:lineRule="auto" w:after="40"/>
              <w:jc w:val="center"/>
            </w:pPr>
            <w:r>
              <w:rPr>
                <w:sz w:val="19"/>
              </w:rPr>
              <w:t xml:space="preserve">✓</w:t>
            </w:r>
          </w:p>
        </w:tc>
        <w:tc>
          <w:tcPr>
            <w:tcW w:type="dxa" w:w="848"/>
          </w:tcPr>
          <w:p>
            <w:pPr>
              <w:pStyle w:val="Compact"/>
              <w:spacing w:line="240" w:lineRule="auto" w:after="40"/>
              <w:jc w:val="center"/>
            </w:pPr>
            <w:r>
              <w:rPr>
                <w:sz w:val="19"/>
              </w:rPr>
              <w:t xml:space="preserve">✓</w:t>
            </w:r>
          </w:p>
        </w:tc>
        <w:tc>
          <w:tcPr>
            <w:tcW w:type="dxa" w:w="1148"/>
          </w:tcPr>
          <w:p>
            <w:pPr>
              <w:pStyle w:val="Compact"/>
              <w:spacing w:line="240" w:lineRule="auto" w:after="40"/>
              <w:jc w:val="center"/>
            </w:pPr>
            <w:r>
              <w:rPr>
                <w:sz w:val="19"/>
              </w:rPr>
              <w:t xml:space="preserve">✓</w:t>
            </w:r>
          </w:p>
        </w:tc>
        <w:tc>
          <w:tcPr>
            <w:tcW w:type="dxa" w:w="848"/>
          </w:tcPr>
          <w:p>
            <w:pPr>
              <w:pStyle w:val="Compact"/>
              <w:spacing w:line="240" w:lineRule="auto" w:after="40"/>
              <w:jc w:val="center"/>
            </w:pPr>
            <w:r>
              <w:rPr>
                <w:sz w:val="19"/>
              </w:rPr>
              <w:t xml:space="preserve">✓</w:t>
            </w:r>
          </w:p>
        </w:tc>
        <w:tc>
          <w:tcPr>
            <w:tcW w:type="dxa" w:w="1174"/>
          </w:tcPr>
          <w:p>
            <w:pPr>
              <w:pStyle w:val="Compact"/>
              <w:spacing w:line="240" w:lineRule="auto" w:after="40"/>
              <w:jc w:val="center"/>
            </w:pPr>
            <w:r>
              <w:rPr>
                <w:sz w:val="19"/>
              </w:rPr>
              <w:t xml:space="preserve">✓</w:t>
            </w:r>
          </w:p>
        </w:tc>
        <w:tc>
          <w:tcPr>
            <w:tcW w:type="dxa" w:w="1435"/>
          </w:tcPr>
          <w:p>
            <w:pPr>
              <w:pStyle w:val="Compact"/>
              <w:spacing w:line="240" w:lineRule="auto" w:after="40"/>
              <w:jc w:val="center"/>
            </w:pPr>
            <w:r>
              <w:rPr>
                <w:sz w:val="19"/>
              </w:rPr>
              <w:t xml:space="preserve">✓</w:t>
            </w:r>
          </w:p>
        </w:tc>
        <w:tc>
          <w:tcPr>
            <w:tcW w:type="dxa" w:w="1500"/>
          </w:tcPr>
          <w:p>
            <w:pPr>
              <w:pStyle w:val="Compact"/>
              <w:spacing w:line="240" w:lineRule="auto" w:after="40"/>
              <w:jc w:val="center"/>
            </w:pPr>
            <w:r>
              <w:rPr>
                <w:sz w:val="19"/>
              </w:rPr>
              <w:t xml:space="preserve">✓</w:t>
            </w:r>
          </w:p>
        </w:tc>
      </w:tr>
    </w:tbl>
    <w:p>
      <w:pPr>
        <w:pStyle w:val="BodyText"/>
      </w:pPr>
      <w:r>
        <w:rPr>
          <w:bCs/>
          <w:b/>
        </w:rPr>
        <w:t xml:space="preserve">What we do not claim.</w:t>
      </w:r>
      <w:r>
        <w:t xml:space="preserve"> </w:t>
      </w:r>
      <w:r>
        <w:t xml:space="preserve">3D Gaussians in medical imaging, uncertainty for Gaussian reconstructions, conformal prediction in CT and for lung nodules, null-space hallucination analysis and saliency maps all exist already. Our contribution is their combination for DTS nodule measurement, the mass-first argument, and a calibrated, truth-checked evaluation.</w:t>
      </w:r>
    </w:p>
    <w:bookmarkEnd w:id="56"/>
    <w:bookmarkStart w:id="57" w:name="summary"/>
    <w:p>
      <w:pPr>
        <w:pStyle w:val="Heading2"/>
      </w:pPr>
      <w:r>
        <w:t xml:space="preserve">2.4 Summary</w:t>
      </w:r>
    </w:p>
    <w:p>
      <w:pPr>
        <w:pStyle w:val="FirstParagraph"/>
      </w:pPr>
      <w:r>
        <w:t xml:space="preserve">DTS is low-dose and affordable but blind in depth, and existing AI reconstruction neither respects which quantities DTS can measure nor states how far its numbers can be trusted. MedLift-3D addresses this gap by measuring mass first, filling depth with a data-consistent diffusion prior, calibrating every number with conformal methods, and explaining what was measured and what was supplied by the prior. Chapter 3 turns this into requirements and a design.</w:t>
      </w:r>
    </w:p>
    <w:bookmarkEnd w:id="57"/>
    <w:bookmarkEnd w:id="58"/>
    <w:bookmarkStart w:id="98" w:name="chapter-3-project-design"/>
    <w:p>
      <w:pPr>
        <w:pStyle w:val="Heading1"/>
      </w:pPr>
      <w:r>
        <w:t xml:space="preserve">Chapter 3: Project Design</w:t>
      </w:r>
    </w:p>
    <w:p>
      <w:pPr>
        <w:pStyle w:val="FirstParagraph"/>
      </w:pPr>
      <w:r>
        <w:t xml:space="preserve">This chapter turns the problem into requirements, models the system with context, data flow and decomposition diagrams, and explains the method together with the alternatives we rejected. It ends with the project plan and task allocation.</w:t>
      </w:r>
    </w:p>
    <w:bookmarkStart w:id="72" w:name="requirement-analysis"/>
    <w:p>
      <w:pPr>
        <w:pStyle w:val="Heading2"/>
      </w:pPr>
      <w:r>
        <w:t xml:space="preserve">3.1 Requirement Analysis</w:t>
      </w:r>
    </w:p>
    <w:p>
      <w:pPr>
        <w:pStyle w:val="FirstParagraph"/>
      </w:pPr>
      <w:r>
        <w:rPr>
          <w:bCs/>
          <w:b/>
        </w:rPr>
        <w:t xml:space="preserve">Requirements elicitation.</w:t>
      </w:r>
      <w:r>
        <w:t xml:space="preserve"> </w:t>
      </w:r>
      <w:r>
        <w:t xml:space="preserve">Requirements were gathered from four sources: (i) the clinical guidelines that radiologists follow for nodules, namely the EUPS volume categories and the NELSON doubling-time categories [4, 11]; (ii) meetings with our supervisor; (iii) the published limits of DTS and sparse-view reconstruction (Chapter 2); and (iv) the constraints of a student project: public data only, no clinical scanner, a budget of tens of dollars and a fixed deadline. Table 3.1 lists the stakeholders and their needs.</w:t>
      </w:r>
    </w:p>
    <w:p>
      <w:pPr>
        <w:pStyle w:val="BodyText"/>
        <w:jc w:val="center"/>
      </w:pPr>
      <w:r>
        <w:rPr>
          <w:bCs/>
          <w:b/>
          <w:iCs/>
          <w:i/>
          <w:sz w:val="20"/>
        </w:rPr>
        <w:t xml:space="preserve">Table 3.1:</w:t>
      </w:r>
      <w:r>
        <w:rPr>
          <w:iCs/>
          <w:i/>
          <w:sz w:val="20"/>
        </w:rPr>
        <w:t xml:space="preserve"> </w:t>
      </w:r>
      <w:r>
        <w:rPr>
          <w:iCs/>
          <w:i/>
          <w:sz w:val="20"/>
        </w:rPr>
        <w:t xml:space="preserve">Stakeholders and their needs.</w:t>
      </w:r>
    </w:p>
    <w:tbl>
      <w:tblPr>
        <w:tblStyle w:val="Table"/>
        <w:tblW w:type="auto" w:w="0"/>
        <w:tblLook w:firstRow="1" w:lastRow="0" w:firstColumn="0" w:lastColumn="0" w:noHBand="0" w:noVBand="0" w:val="0020"/>
        <w:jc w:val="start"/>
        <w:tblBorders>
          <w:top w:val="single" w:sz="12" w:color="000000"/>
          <w:bottom w:val="single" w:sz="12" w:color="000000"/>
          <w:insideH w:val="single" w:sz="6" w:color="808080"/>
        </w:tblBorders>
      </w:tblPr>
      <w:tblGrid>
        <w:gridCol w:w="1344"/>
        <w:gridCol w:w="3842"/>
        <w:gridCol w:w="3842"/>
      </w:tblGrid>
      <w:tr>
        <w:trPr>
          <w:tblHeader w:val="true"/>
        </w:trPr>
        <w:tc>
          <w:tcPr>
            <w:tcW w:type="dxa" w:w="1345"/>
          </w:tcPr>
          <w:p>
            <w:pPr>
              <w:pStyle w:val="Compact"/>
              <w:spacing w:line="240" w:lineRule="auto" w:after="40"/>
              <w:jc w:val="left"/>
            </w:pPr>
            <w:r>
              <w:rPr>
                <w:b/>
                <w:sz w:val="19"/>
              </w:rPr>
              <w:t xml:space="preserve">Stakeholder</w:t>
            </w:r>
          </w:p>
        </w:tc>
        <w:tc>
          <w:tcPr>
            <w:tcW w:type="dxa" w:w="3842"/>
          </w:tcPr>
          <w:p>
            <w:pPr>
              <w:pStyle w:val="Compact"/>
              <w:spacing w:line="240" w:lineRule="auto" w:after="40"/>
              <w:jc w:val="left"/>
            </w:pPr>
            <w:r>
              <w:rPr>
                <w:b/>
                <w:sz w:val="19"/>
              </w:rPr>
              <w:t xml:space="preserve">Need</w:t>
            </w:r>
          </w:p>
        </w:tc>
        <w:tc>
          <w:tcPr>
            <w:tcW w:type="dxa" w:w="3842"/>
          </w:tcPr>
          <w:p>
            <w:pPr>
              <w:pStyle w:val="Compact"/>
              <w:spacing w:line="240" w:lineRule="auto" w:after="40"/>
              <w:jc w:val="left"/>
            </w:pPr>
            <w:r>
              <w:rPr>
                <w:b/>
                <w:sz w:val="19"/>
              </w:rPr>
              <w:t xml:space="preserve">How MedLift-3D answers it</w:t>
            </w:r>
          </w:p>
        </w:tc>
      </w:tr>
      <w:tr>
        <w:tc>
          <w:tcPr>
            <w:tcW w:type="dxa" w:w="1345"/>
          </w:tcPr>
          <w:p>
            <w:pPr>
              <w:pStyle w:val="Compact"/>
              <w:spacing w:line="240" w:lineRule="auto" w:after="40"/>
              <w:jc w:val="left"/>
            </w:pPr>
            <w:r>
              <w:rPr>
                <w:sz w:val="19"/>
              </w:rPr>
              <w:t xml:space="preserve">Radiologist</w:t>
            </w:r>
          </w:p>
        </w:tc>
        <w:tc>
          <w:tcPr>
            <w:tcW w:type="dxa" w:w="3842"/>
          </w:tcPr>
          <w:p>
            <w:pPr>
              <w:pStyle w:val="Compact"/>
              <w:spacing w:line="240" w:lineRule="auto" w:after="40"/>
              <w:jc w:val="left"/>
            </w:pPr>
            <w:r>
              <w:rPr>
                <w:sz w:val="19"/>
              </w:rPr>
              <w:t xml:space="preserve">A 3D size and growth rate from a low-dose exam, and to know when not to trust it</w:t>
            </w:r>
          </w:p>
        </w:tc>
        <w:tc>
          <w:tcPr>
            <w:tcW w:type="dxa" w:w="3842"/>
          </w:tcPr>
          <w:p>
            <w:pPr>
              <w:pStyle w:val="Compact"/>
              <w:spacing w:line="240" w:lineRule="auto" w:after="40"/>
              <w:jc w:val="left"/>
            </w:pPr>
            <w:r>
              <w:rPr>
                <w:sz w:val="19"/>
              </w:rPr>
              <w:t xml:space="preserve">Mass, volume, category and doubling time, each with a calibrated interval and a low-confidence flag</w:t>
            </w:r>
          </w:p>
        </w:tc>
      </w:tr>
      <w:tr>
        <w:tc>
          <w:tcPr>
            <w:tcW w:type="dxa" w:w="1345"/>
          </w:tcPr>
          <w:p>
            <w:pPr>
              <w:pStyle w:val="Compact"/>
              <w:spacing w:line="240" w:lineRule="auto" w:after="40"/>
              <w:jc w:val="left"/>
            </w:pPr>
            <w:r>
              <w:rPr>
                <w:sz w:val="19"/>
              </w:rPr>
              <w:t xml:space="preserve">Patient</w:t>
            </w:r>
          </w:p>
        </w:tc>
        <w:tc>
          <w:tcPr>
            <w:tcW w:type="dxa" w:w="3842"/>
          </w:tcPr>
          <w:p>
            <w:pPr>
              <w:pStyle w:val="Compact"/>
              <w:spacing w:line="240" w:lineRule="auto" w:after="40"/>
              <w:jc w:val="left"/>
            </w:pPr>
            <w:r>
              <w:rPr>
                <w:sz w:val="19"/>
              </w:rPr>
              <w:t xml:space="preserve">Less radiation and cost per follow-up</w:t>
            </w:r>
          </w:p>
        </w:tc>
        <w:tc>
          <w:tcPr>
            <w:tcW w:type="dxa" w:w="3842"/>
          </w:tcPr>
          <w:p>
            <w:pPr>
              <w:pStyle w:val="Compact"/>
              <w:spacing w:line="240" w:lineRule="auto" w:after="40"/>
              <w:jc w:val="left"/>
            </w:pPr>
            <w:r>
              <w:rPr>
                <w:sz w:val="19"/>
              </w:rPr>
              <w:t xml:space="preserve">DTS at about 0.1 mSv instead of CT</w:t>
            </w:r>
          </w:p>
        </w:tc>
      </w:tr>
      <w:tr>
        <w:tc>
          <w:tcPr>
            <w:tcW w:type="dxa" w:w="1345"/>
          </w:tcPr>
          <w:p>
            <w:pPr>
              <w:pStyle w:val="Compact"/>
              <w:spacing w:line="240" w:lineRule="auto" w:after="40"/>
              <w:jc w:val="left"/>
            </w:pPr>
            <w:r>
              <w:rPr>
                <w:sz w:val="19"/>
              </w:rPr>
              <w:t xml:space="preserve">Low-resource hospital</w:t>
            </w:r>
          </w:p>
        </w:tc>
        <w:tc>
          <w:tcPr>
            <w:tcW w:type="dxa" w:w="3842"/>
          </w:tcPr>
          <w:p>
            <w:pPr>
              <w:pStyle w:val="Compact"/>
              <w:spacing w:line="240" w:lineRule="auto" w:after="40"/>
              <w:jc w:val="left"/>
            </w:pPr>
            <w:r>
              <w:rPr>
                <w:sz w:val="19"/>
              </w:rPr>
              <w:t xml:space="preserve">Affordable equipment and software</w:t>
            </w:r>
          </w:p>
        </w:tc>
        <w:tc>
          <w:tcPr>
            <w:tcW w:type="dxa" w:w="3842"/>
          </w:tcPr>
          <w:p>
            <w:pPr>
              <w:pStyle w:val="Compact"/>
              <w:spacing w:line="240" w:lineRule="auto" w:after="40"/>
              <w:jc w:val="left"/>
            </w:pPr>
            <w:r>
              <w:rPr>
                <w:sz w:val="19"/>
              </w:rPr>
              <w:t xml:space="preserve">DTS hardware; software runs on a free or US$1.33/hour GPU</w:t>
            </w:r>
          </w:p>
        </w:tc>
      </w:tr>
      <w:tr>
        <w:tc>
          <w:tcPr>
            <w:tcW w:type="dxa" w:w="1345"/>
          </w:tcPr>
          <w:p>
            <w:pPr>
              <w:pStyle w:val="Compact"/>
              <w:spacing w:line="240" w:lineRule="auto" w:after="40"/>
              <w:jc w:val="left"/>
            </w:pPr>
            <w:r>
              <w:rPr>
                <w:sz w:val="19"/>
              </w:rPr>
              <w:t xml:space="preserve">Examiner / researcher</w:t>
            </w:r>
          </w:p>
        </w:tc>
        <w:tc>
          <w:tcPr>
            <w:tcW w:type="dxa" w:w="3842"/>
          </w:tcPr>
          <w:p>
            <w:pPr>
              <w:pStyle w:val="Compact"/>
              <w:spacing w:line="240" w:lineRule="auto" w:after="40"/>
              <w:jc w:val="left"/>
            </w:pPr>
            <w:r>
              <w:rPr>
                <w:sz w:val="19"/>
              </w:rPr>
              <w:t xml:space="preserve">Claims that can be checked</w:t>
            </w:r>
          </w:p>
        </w:tc>
        <w:tc>
          <w:tcPr>
            <w:tcW w:type="dxa" w:w="3842"/>
          </w:tcPr>
          <w:p>
            <w:pPr>
              <w:pStyle w:val="Compact"/>
              <w:spacing w:line="240" w:lineRule="auto" w:after="40"/>
              <w:jc w:val="left"/>
            </w:pPr>
            <w:r>
              <w:rPr>
                <w:sz w:val="19"/>
              </w:rPr>
              <w:t xml:space="preserve">Every step ends in PASS/FAIL checks; test patients never used for tuning</w:t>
            </w:r>
          </w:p>
        </w:tc>
      </w:tr>
    </w:tbl>
    <w:p>
      <w:pPr>
        <w:pStyle w:val="BodyText"/>
      </w:pPr>
      <w:r>
        <w:rPr>
          <w:bCs/>
          <w:b/>
        </w:rPr>
        <w:t xml:space="preserve">Requirements analysis and negotiation.</w:t>
      </w:r>
      <w:r>
        <w:t xml:space="preserve"> </w:t>
      </w:r>
      <w:r>
        <w:t xml:space="preserve">Several requirements conflict; Table 3.2 records how each conflict was resolved.</w:t>
      </w:r>
    </w:p>
    <w:p>
      <w:pPr>
        <w:pStyle w:val="BodyText"/>
        <w:jc w:val="center"/>
      </w:pPr>
      <w:r>
        <w:rPr>
          <w:bCs/>
          <w:b/>
          <w:iCs/>
          <w:i/>
          <w:sz w:val="20"/>
        </w:rPr>
        <w:t xml:space="preserve">Table 3.2:</w:t>
      </w:r>
      <w:r>
        <w:rPr>
          <w:iCs/>
          <w:i/>
          <w:sz w:val="20"/>
        </w:rPr>
        <w:t xml:space="preserve"> </w:t>
      </w:r>
      <w:r>
        <w:rPr>
          <w:iCs/>
          <w:i/>
          <w:sz w:val="20"/>
        </w:rPr>
        <w:t xml:space="preserve">Conflicting requirements and their resolution.</w:t>
      </w:r>
    </w:p>
    <w:tbl>
      <w:tblPr>
        <w:tblStyle w:val="Table"/>
        <w:tblW w:type="auto" w:w="0"/>
        <w:tblLook w:firstRow="1" w:lastRow="0" w:firstColumn="0" w:lastColumn="0" w:noHBand="0" w:noVBand="0" w:val="0020"/>
        <w:jc w:val="start"/>
        <w:tblBorders>
          <w:top w:val="single" w:sz="12" w:color="000000"/>
          <w:bottom w:val="single" w:sz="12" w:color="000000"/>
          <w:insideH w:val="single" w:sz="6" w:color="808080"/>
        </w:tblBorders>
      </w:tblPr>
      <w:tblGrid>
        <w:gridCol w:w="2502"/>
        <w:gridCol w:w="3263"/>
        <w:gridCol w:w="3263"/>
      </w:tblGrid>
      <w:tr>
        <w:trPr>
          <w:tblHeader w:val="true"/>
        </w:trPr>
        <w:tc>
          <w:tcPr>
            <w:tcW w:type="dxa" w:w="2502"/>
          </w:tcPr>
          <w:p>
            <w:pPr>
              <w:pStyle w:val="Compact"/>
              <w:spacing w:line="240" w:lineRule="auto" w:after="40"/>
              <w:jc w:val="left"/>
            </w:pPr>
            <w:r>
              <w:rPr>
                <w:b/>
                <w:sz w:val="19"/>
              </w:rPr>
              <w:t xml:space="preserve">Conflict</w:t>
            </w:r>
          </w:p>
        </w:tc>
        <w:tc>
          <w:tcPr>
            <w:tcW w:type="dxa" w:w="3263"/>
          </w:tcPr>
          <w:p>
            <w:pPr>
              <w:pStyle w:val="Compact"/>
              <w:spacing w:line="240" w:lineRule="auto" w:after="40"/>
              <w:jc w:val="left"/>
            </w:pPr>
            <w:r>
              <w:rPr>
                <w:b/>
                <w:sz w:val="19"/>
              </w:rPr>
              <w:t xml:space="preserve">Decision</w:t>
            </w:r>
          </w:p>
        </w:tc>
        <w:tc>
          <w:tcPr>
            <w:tcW w:type="dxa" w:w="3263"/>
          </w:tcPr>
          <w:p>
            <w:pPr>
              <w:pStyle w:val="Compact"/>
              <w:spacing w:line="240" w:lineRule="auto" w:after="40"/>
              <w:jc w:val="left"/>
            </w:pPr>
            <w:r>
              <w:rPr>
                <w:b/>
                <w:sz w:val="19"/>
              </w:rPr>
              <w:t xml:space="preserve">Rationale</w:t>
            </w:r>
          </w:p>
        </w:tc>
      </w:tr>
      <w:tr>
        <w:tc>
          <w:tcPr>
            <w:tcW w:type="dxa" w:w="2502"/>
          </w:tcPr>
          <w:p>
            <w:pPr>
              <w:pStyle w:val="Compact"/>
              <w:spacing w:line="240" w:lineRule="auto" w:after="40"/>
              <w:jc w:val="left"/>
            </w:pPr>
            <w:r>
              <w:rPr>
                <w:sz w:val="19"/>
              </w:rPr>
              <w:t xml:space="preserve">Low dose vs accuracy</w:t>
            </w:r>
          </w:p>
        </w:tc>
        <w:tc>
          <w:tcPr>
            <w:tcW w:type="dxa" w:w="3263"/>
          </w:tcPr>
          <w:p>
            <w:pPr>
              <w:pStyle w:val="Compact"/>
              <w:spacing w:line="240" w:lineRule="auto" w:after="40"/>
              <w:jc w:val="left"/>
            </w:pPr>
            <w:r>
              <w:rPr>
                <w:sz w:val="19"/>
              </w:rPr>
              <w:t xml:space="preserve">Simulate</w:t>
            </w:r>
            <w:r>
              <w:rPr>
                <w:sz w:val="19"/>
              </w:rPr>
              <w:t xml:space="preserve"> </w:t>
            </w:r>
            <m:oMath>
              <m:sSub>
                <m:e>
                  <m:r>
                    <m:t>I</m:t>
                  </m:r>
                </m:e>
                <m:sub>
                  <m:r>
                    <m:t>0</m:t>
                  </m:r>
                </m:sub>
              </m:sSub>
              <m:r>
                <m:rPr>
                  <m:sty m:val="p"/>
                </m:rPr>
                <m:t>=</m:t>
              </m:r>
              <m:r>
                <m:t>2</m:t>
              </m:r>
              <m:r>
                <m:rPr>
                  <m:sty m:val="p"/>
                </m:rPr>
                <m:t>×</m:t>
              </m:r>
              <m:sSup>
                <m:e>
                  <m:r>
                    <m:t>10</m:t>
                  </m:r>
                </m:e>
                <m:sup>
                  <m:r>
                    <m:t>4</m:t>
                  </m:r>
                </m:sup>
              </m:sSup>
            </m:oMath>
            <w:r>
              <w:rPr>
                <w:sz w:val="19"/>
              </w:rPr>
              <w:t xml:space="preserve"> </w:t>
            </w:r>
            <w:r>
              <w:rPr>
                <w:sz w:val="19"/>
              </w:rPr>
              <w:t xml:space="preserve">photons per pixel and view (about 1/20–1/40 of clinical DTS dose)</w:t>
            </w:r>
          </w:p>
        </w:tc>
        <w:tc>
          <w:tcPr>
            <w:tcW w:type="dxa" w:w="3263"/>
          </w:tcPr>
          <w:p>
            <w:pPr>
              <w:pStyle w:val="Compact"/>
              <w:spacing w:line="240" w:lineRule="auto" w:after="40"/>
              <w:jc w:val="left"/>
            </w:pPr>
            <w:r>
              <w:rPr>
                <w:sz w:val="19"/>
              </w:rPr>
              <w:t xml:space="preserve">Conservative: a method that works at this dose works at clinical dose</w:t>
            </w:r>
          </w:p>
        </w:tc>
      </w:tr>
      <w:tr>
        <w:tc>
          <w:tcPr>
            <w:tcW w:type="dxa" w:w="2502"/>
          </w:tcPr>
          <w:p>
            <w:pPr>
              <w:pStyle w:val="Compact"/>
              <w:spacing w:line="240" w:lineRule="auto" w:after="40"/>
              <w:jc w:val="left"/>
            </w:pPr>
            <w:r>
              <w:rPr>
                <w:sz w:val="19"/>
              </w:rPr>
              <w:t xml:space="preserve">Clinical view count (60–74) vs compute</w:t>
            </w:r>
          </w:p>
        </w:tc>
        <w:tc>
          <w:tcPr>
            <w:tcW w:type="dxa" w:w="3263"/>
          </w:tcPr>
          <w:p>
            <w:pPr>
              <w:pStyle w:val="Compact"/>
              <w:spacing w:line="240" w:lineRule="auto" w:after="40"/>
              <w:jc w:val="left"/>
            </w:pPr>
            <w:r>
              <w:rPr>
                <w:sz w:val="19"/>
              </w:rPr>
              <w:t xml:space="preserve">15 views at equal total dose</w:t>
            </w:r>
          </w:p>
        </w:tc>
        <w:tc>
          <w:tcPr>
            <w:tcW w:type="dxa" w:w="3263"/>
          </w:tcPr>
          <w:p>
            <w:pPr>
              <w:pStyle w:val="Compact"/>
              <w:spacing w:line="240" w:lineRule="auto" w:after="40"/>
              <w:jc w:val="left"/>
            </w:pPr>
            <w:r>
              <w:rPr>
                <w:sz w:val="19"/>
              </w:rPr>
              <w:t xml:space="preserve">Measured: the view count barely changes depth smear at equal dose (5.13 vs 5.34)</w:t>
            </w:r>
          </w:p>
        </w:tc>
      </w:tr>
      <w:tr>
        <w:tc>
          <w:tcPr>
            <w:tcW w:type="dxa" w:w="2502"/>
          </w:tcPr>
          <w:p>
            <w:pPr>
              <w:pStyle w:val="Compact"/>
              <w:spacing w:line="240" w:lineRule="auto" w:after="40"/>
              <w:jc w:val="left"/>
            </w:pPr>
            <w:r>
              <w:rPr>
                <w:sz w:val="19"/>
              </w:rPr>
              <w:t xml:space="preserve">Fill the missing wedge vs never invent anatomy</w:t>
            </w:r>
          </w:p>
        </w:tc>
        <w:tc>
          <w:tcPr>
            <w:tcW w:type="dxa" w:w="3263"/>
          </w:tcPr>
          <w:p>
            <w:pPr>
              <w:pStyle w:val="Compact"/>
              <w:spacing w:line="240" w:lineRule="auto" w:after="40"/>
              <w:jc w:val="left"/>
            </w:pPr>
            <w:r>
              <w:rPr>
                <w:sz w:val="19"/>
              </w:rPr>
              <w:t xml:space="preserve">Diffusion prior with X-ray data consistency, plus seen/unseen explanation</w:t>
            </w:r>
          </w:p>
        </w:tc>
        <w:tc>
          <w:tcPr>
            <w:tcW w:type="dxa" w:w="3263"/>
          </w:tcPr>
          <w:p>
            <w:pPr>
              <w:pStyle w:val="Compact"/>
              <w:spacing w:line="240" w:lineRule="auto" w:after="40"/>
              <w:jc w:val="left"/>
            </w:pPr>
            <w:r>
              <w:rPr>
                <w:sz w:val="19"/>
              </w:rPr>
              <w:t xml:space="preserve">Every hypothesis agrees with the X-rays; what the prior adds is shown and tested</w:t>
            </w:r>
          </w:p>
        </w:tc>
      </w:tr>
      <w:tr>
        <w:tc>
          <w:tcPr>
            <w:tcW w:type="dxa" w:w="2502"/>
          </w:tcPr>
          <w:p>
            <w:pPr>
              <w:pStyle w:val="Compact"/>
              <w:spacing w:line="240" w:lineRule="auto" w:after="40"/>
              <w:jc w:val="left"/>
            </w:pPr>
            <w:r>
              <w:rPr>
                <w:sz w:val="19"/>
              </w:rPr>
              <w:t xml:space="preserve">Single number vs honest uncertainty</w:t>
            </w:r>
          </w:p>
        </w:tc>
        <w:tc>
          <w:tcPr>
            <w:tcW w:type="dxa" w:w="3263"/>
          </w:tcPr>
          <w:p>
            <w:pPr>
              <w:pStyle w:val="Compact"/>
              <w:spacing w:line="240" w:lineRule="auto" w:after="40"/>
              <w:jc w:val="left"/>
            </w:pPr>
            <w:r>
              <w:rPr>
                <w:sz w:val="19"/>
              </w:rPr>
              <w:t xml:space="preserve">Eight hypotheses + conformal calibration</w:t>
            </w:r>
          </w:p>
        </w:tc>
        <w:tc>
          <w:tcPr>
            <w:tcW w:type="dxa" w:w="3263"/>
          </w:tcPr>
          <w:p>
            <w:pPr>
              <w:pStyle w:val="Compact"/>
              <w:spacing w:line="240" w:lineRule="auto" w:after="40"/>
              <w:jc w:val="left"/>
            </w:pPr>
            <w:r>
              <w:rPr>
                <w:sz w:val="19"/>
              </w:rPr>
              <w:t xml:space="preserve">Raw spread is not calibrated; conformal intervals have a coverage guarantee</w:t>
            </w:r>
          </w:p>
        </w:tc>
      </w:tr>
      <w:tr>
        <w:tc>
          <w:tcPr>
            <w:tcW w:type="dxa" w:w="2502"/>
          </w:tcPr>
          <w:p>
            <w:pPr>
              <w:pStyle w:val="Compact"/>
              <w:spacing w:line="240" w:lineRule="auto" w:after="40"/>
              <w:jc w:val="left"/>
            </w:pPr>
            <w:r>
              <w:rPr>
                <w:sz w:val="19"/>
              </w:rPr>
              <w:t xml:space="preserve">Whole-volume accuracy vs GPU memory</w:t>
            </w:r>
          </w:p>
        </w:tc>
        <w:tc>
          <w:tcPr>
            <w:tcW w:type="dxa" w:w="3263"/>
          </w:tcPr>
          <w:p>
            <w:pPr>
              <w:pStyle w:val="Compact"/>
              <w:spacing w:line="240" w:lineRule="auto" w:after="40"/>
              <w:jc w:val="left"/>
            </w:pPr>
            <w:r>
              <w:rPr>
                <w:sz w:val="19"/>
              </w:rPr>
              <w:t xml:space="preserve">Reconstruct only a 64 mm prism through the chest at the click</w:t>
            </w:r>
          </w:p>
        </w:tc>
        <w:tc>
          <w:tcPr>
            <w:tcW w:type="dxa" w:w="3263"/>
          </w:tcPr>
          <w:p>
            <w:pPr>
              <w:pStyle w:val="Compact"/>
              <w:spacing w:line="240" w:lineRule="auto" w:after="40"/>
              <w:jc w:val="left"/>
            </w:pPr>
            <w:r>
              <w:rPr>
                <w:sz w:val="19"/>
              </w:rPr>
              <w:t xml:space="preserve">Keeps each ray’s full path (a small box gave 73% error) at</w:t>
            </w:r>
            <w:r>
              <w:rPr>
                <w:sz w:val="19"/>
              </w:rPr>
              <w:t xml:space="preserve"> </w:t>
            </w:r>
            <m:oMath>
              <m:r>
                <m:t>64</m:t>
              </m:r>
              <m:r>
                <m:rPr>
                  <m:sty m:val="p"/>
                </m:rPr>
                <m:t>×</m:t>
              </m:r>
              <m:r>
                <m:t>128</m:t>
              </m:r>
              <m:r>
                <m:rPr>
                  <m:sty m:val="p"/>
                </m:rPr>
                <m:t>×</m:t>
              </m:r>
              <m:r>
                <m:t>64</m:t>
              </m:r>
            </m:oMath>
            <w:r>
              <w:rPr>
                <w:sz w:val="19"/>
              </w:rPr>
              <w:t xml:space="preserve"> </w:t>
            </w:r>
            <w:r>
              <w:rPr>
                <w:sz w:val="19"/>
              </w:rPr>
              <w:t xml:space="preserve">voxels</w:t>
            </w:r>
          </w:p>
        </w:tc>
      </w:tr>
      <w:tr>
        <w:tc>
          <w:tcPr>
            <w:tcW w:type="dxa" w:w="2502"/>
          </w:tcPr>
          <w:p>
            <w:pPr>
              <w:pStyle w:val="Compact"/>
              <w:spacing w:line="240" w:lineRule="auto" w:after="40"/>
              <w:jc w:val="left"/>
            </w:pPr>
            <w:r>
              <w:rPr>
                <w:sz w:val="19"/>
              </w:rPr>
              <w:t xml:space="preserve">Automatic detection vs false positives</w:t>
            </w:r>
          </w:p>
        </w:tc>
        <w:tc>
          <w:tcPr>
            <w:tcW w:type="dxa" w:w="3263"/>
          </w:tcPr>
          <w:p>
            <w:pPr>
              <w:pStyle w:val="Compact"/>
              <w:spacing w:line="240" w:lineRule="auto" w:after="40"/>
              <w:jc w:val="left"/>
            </w:pPr>
            <w:r>
              <w:rPr>
                <w:sz w:val="19"/>
              </w:rPr>
              <w:t xml:space="preserve">The detector only suggests; the clinician clicks</w:t>
            </w:r>
          </w:p>
        </w:tc>
        <w:tc>
          <w:tcPr>
            <w:tcW w:type="dxa" w:w="3263"/>
          </w:tcPr>
          <w:p>
            <w:pPr>
              <w:pStyle w:val="Compact"/>
              <w:spacing w:line="240" w:lineRule="auto" w:after="40"/>
              <w:jc w:val="left"/>
            </w:pPr>
            <w:r>
              <w:rPr>
                <w:sz w:val="19"/>
              </w:rPr>
              <w:t xml:space="preserve">The clinician stays in control; missed nodules can still be measured</w:t>
            </w:r>
          </w:p>
        </w:tc>
      </w:tr>
    </w:tbl>
    <w:bookmarkStart w:id="59" w:name="Xce23610ac690700d4e0253d8761a12b5c96609b"/>
    <w:p>
      <w:pPr>
        <w:pStyle w:val="Heading3"/>
      </w:pPr>
      <w:r>
        <w:t xml:space="preserve">3.1.1 Functional and Nonfunctional Requirements</w:t>
      </w:r>
    </w:p>
    <w:p>
      <w:pPr>
        <w:pStyle w:val="FirstParagraph"/>
      </w:pPr>
      <w:r>
        <w:t xml:space="preserve">Functional requirements state what the system must do, from loading the data to producing the report; nonfunctional requirements state the qualities it must have: speed, cost, reproducibility, validity, safety, usability, portability and privacy. Each requirement has a measurable acceptance criterion and the pipeline step that checks it (Tables 3.3 and 3.4). The criteria were chosen so that a step script can check them automatically, which makes the verification in Chapter 4 independent of anyone’s judgement; Table 4.4 reports the result for every row.</w:t>
      </w:r>
    </w:p>
    <w:p>
      <w:pPr>
        <w:pStyle w:val="BodyText"/>
        <w:jc w:val="center"/>
      </w:pPr>
      <w:r>
        <w:rPr>
          <w:bCs/>
          <w:b/>
          <w:iCs/>
          <w:i/>
          <w:sz w:val="20"/>
        </w:rPr>
        <w:t xml:space="preserve">Table 3.3:</w:t>
      </w:r>
      <w:r>
        <w:rPr>
          <w:iCs/>
          <w:i/>
          <w:sz w:val="20"/>
        </w:rPr>
        <w:t xml:space="preserve"> </w:t>
      </w:r>
      <w:r>
        <w:rPr>
          <w:iCs/>
          <w:i/>
          <w:sz w:val="20"/>
        </w:rPr>
        <w:t xml:space="preserve">Functional requirements.</w:t>
      </w:r>
    </w:p>
    <w:tbl>
      <w:tblPr>
        <w:tblStyle w:val="Table"/>
        <w:tblW w:type="auto" w:w="0"/>
        <w:tblLook w:firstRow="1" w:lastRow="0" w:firstColumn="0" w:lastColumn="0" w:noHBand="0" w:noVBand="0" w:val="0020"/>
        <w:jc w:val="start"/>
        <w:tblBorders>
          <w:top w:val="single" w:sz="12" w:color="000000"/>
          <w:bottom w:val="single" w:sz="12" w:color="000000"/>
          <w:insideH w:val="single" w:sz="6" w:color="808080"/>
        </w:tblBorders>
      </w:tblPr>
      <w:tblGrid>
        <w:gridCol w:w="515"/>
        <w:gridCol w:w="3869"/>
        <w:gridCol w:w="3869"/>
        <w:gridCol w:w="773"/>
      </w:tblGrid>
      <w:tr>
        <w:trPr>
          <w:tblHeader w:val="true"/>
        </w:trPr>
        <w:tc>
          <w:tcPr>
            <w:tcW w:type="dxa" w:w="516"/>
          </w:tcPr>
          <w:p>
            <w:pPr>
              <w:pStyle w:val="Compact"/>
              <w:spacing w:line="240" w:lineRule="auto" w:after="40"/>
              <w:jc w:val="left"/>
            </w:pPr>
            <w:r>
              <w:rPr>
                <w:b/>
                <w:sz w:val="19"/>
              </w:rPr>
              <w:t xml:space="preserve">ID</w:t>
            </w:r>
          </w:p>
        </w:tc>
        <w:tc>
          <w:tcPr>
            <w:tcW w:type="dxa" w:w="3870"/>
          </w:tcPr>
          <w:p>
            <w:pPr>
              <w:pStyle w:val="Compact"/>
              <w:spacing w:line="240" w:lineRule="auto" w:after="40"/>
              <w:jc w:val="left"/>
            </w:pPr>
            <w:r>
              <w:rPr>
                <w:b/>
                <w:sz w:val="19"/>
              </w:rPr>
              <w:t xml:space="preserve">Requirement</w:t>
            </w:r>
          </w:p>
        </w:tc>
        <w:tc>
          <w:tcPr>
            <w:tcW w:type="dxa" w:w="3870"/>
          </w:tcPr>
          <w:p>
            <w:pPr>
              <w:pStyle w:val="Compact"/>
              <w:spacing w:line="240" w:lineRule="auto" w:after="40"/>
              <w:jc w:val="left"/>
            </w:pPr>
            <w:r>
              <w:rPr>
                <w:b/>
                <w:sz w:val="19"/>
              </w:rPr>
              <w:t xml:space="preserve">Acceptance criterion</w:t>
            </w:r>
          </w:p>
        </w:tc>
        <w:tc>
          <w:tcPr>
            <w:tcW w:type="dxa" w:w="774"/>
          </w:tcPr>
          <w:p>
            <w:pPr>
              <w:pStyle w:val="Compact"/>
              <w:spacing w:line="240" w:lineRule="auto" w:after="40"/>
              <w:jc w:val="left"/>
            </w:pPr>
            <w:r>
              <w:rPr>
                <w:b/>
                <w:sz w:val="19"/>
              </w:rPr>
              <w:t xml:space="preserve">Checked by</w:t>
            </w:r>
          </w:p>
        </w:tc>
      </w:tr>
      <w:tr>
        <w:tc>
          <w:tcPr>
            <w:tcW w:type="dxa" w:w="516"/>
          </w:tcPr>
          <w:p>
            <w:pPr>
              <w:pStyle w:val="Compact"/>
              <w:spacing w:line="240" w:lineRule="auto" w:after="40"/>
              <w:jc w:val="left"/>
            </w:pPr>
            <w:r>
              <w:rPr>
                <w:sz w:val="19"/>
              </w:rPr>
              <w:t xml:space="preserve">FR-01</w:t>
            </w:r>
          </w:p>
        </w:tc>
        <w:tc>
          <w:tcPr>
            <w:tcW w:type="dxa" w:w="3870"/>
          </w:tcPr>
          <w:p>
            <w:pPr>
              <w:pStyle w:val="Compact"/>
              <w:spacing w:line="240" w:lineRule="auto" w:after="40"/>
              <w:jc w:val="left"/>
            </w:pPr>
            <w:r>
              <w:rPr>
                <w:sz w:val="19"/>
              </w:rPr>
              <w:t xml:space="preserve">Load LIDC-IDRI CT and radiologist annotations; build a consensus mask (</w:t>
            </w:r>
            <m:oMath>
              <m:r>
                <m:rPr>
                  <m:sty m:val="p"/>
                </m:rPr>
                <m:t>≥</m:t>
              </m:r>
            </m:oMath>
            <w:r>
              <w:rPr>
                <w:sz w:val="19"/>
              </w:rPr>
              <w:t xml:space="preserve">50% of readers); split by patient into train/cal/test</w:t>
            </w:r>
          </w:p>
        </w:tc>
        <w:tc>
          <w:tcPr>
            <w:tcW w:type="dxa" w:w="3870"/>
          </w:tcPr>
          <w:p>
            <w:pPr>
              <w:pStyle w:val="Compact"/>
              <w:spacing w:line="240" w:lineRule="auto" w:after="40"/>
              <w:jc w:val="left"/>
            </w:pPr>
            <w:r>
              <w:rPr>
                <w:sz w:val="19"/>
              </w:rPr>
              <w:t xml:space="preserve">DICOM and pylidc slice positions agree; splits disjoint</w:t>
            </w:r>
          </w:p>
        </w:tc>
        <w:tc>
          <w:tcPr>
            <w:tcW w:type="dxa" w:w="774"/>
          </w:tcPr>
          <w:p>
            <w:pPr>
              <w:pStyle w:val="Compact"/>
              <w:spacing w:line="240" w:lineRule="auto" w:after="40"/>
              <w:jc w:val="left"/>
            </w:pPr>
            <w:r>
              <w:rPr>
                <w:sz w:val="19"/>
              </w:rPr>
              <w:t xml:space="preserve">Steps 02–04</w:t>
            </w:r>
          </w:p>
        </w:tc>
      </w:tr>
      <w:tr>
        <w:tc>
          <w:tcPr>
            <w:tcW w:type="dxa" w:w="516"/>
          </w:tcPr>
          <w:p>
            <w:pPr>
              <w:pStyle w:val="Compact"/>
              <w:spacing w:line="240" w:lineRule="auto" w:after="40"/>
              <w:jc w:val="left"/>
            </w:pPr>
            <w:r>
              <w:rPr>
                <w:sz w:val="19"/>
              </w:rPr>
              <w:t xml:space="preserve">FR-02</w:t>
            </w:r>
          </w:p>
        </w:tc>
        <w:tc>
          <w:tcPr>
            <w:tcW w:type="dxa" w:w="3870"/>
          </w:tcPr>
          <w:p>
            <w:pPr>
              <w:pStyle w:val="Compact"/>
              <w:spacing w:line="240" w:lineRule="auto" w:after="40"/>
              <w:jc w:val="left"/>
            </w:pPr>
            <w:r>
              <w:rPr>
                <w:sz w:val="19"/>
              </w:rPr>
              <w:t xml:space="preserve">Simulate low-dose DTS: 15 views,</w:t>
            </w:r>
            <w:r>
              <w:rPr>
                <w:sz w:val="19"/>
              </w:rPr>
              <w:t xml:space="preserve"> </w:t>
            </w:r>
            <m:oMath>
              <m:r>
                <m:rPr>
                  <m:sty m:val="p"/>
                </m:rPr>
                <m:t>±</m:t>
              </m:r>
              <m:sSup>
                <m:e>
                  <m:r>
                    <m:t>15</m:t>
                  </m:r>
                </m:e>
                <m:sup>
                  <m:r>
                    <m:rPr>
                      <m:sty m:val="p"/>
                    </m:rPr>
                    <m:t>∘</m:t>
                  </m:r>
                </m:sup>
              </m:sSup>
            </m:oMath>
            <w:r>
              <w:rPr>
                <w:sz w:val="19"/>
              </w:rPr>
              <w:t xml:space="preserve">, SID 1800 mm, 43 cm panel, Poisson noise</w:t>
            </w:r>
          </w:p>
        </w:tc>
        <w:tc>
          <w:tcPr>
            <w:tcW w:type="dxa" w:w="3870"/>
          </w:tcPr>
          <w:p>
            <w:pPr>
              <w:pStyle w:val="Compact"/>
              <w:spacing w:line="240" w:lineRule="auto" w:after="40"/>
              <w:jc w:val="left"/>
            </w:pPr>
            <w:r>
              <w:rPr>
                <w:sz w:val="19"/>
              </w:rPr>
              <w:t xml:space="preserve">Detector integral equals object mass within 0.1% in every view</w:t>
            </w:r>
          </w:p>
        </w:tc>
        <w:tc>
          <w:tcPr>
            <w:tcW w:type="dxa" w:w="774"/>
          </w:tcPr>
          <w:p>
            <w:pPr>
              <w:pStyle w:val="Compact"/>
              <w:spacing w:line="240" w:lineRule="auto" w:after="40"/>
              <w:jc w:val="left"/>
            </w:pPr>
            <w:r>
              <w:rPr>
                <w:sz w:val="19"/>
              </w:rPr>
              <w:t xml:space="preserve">Steps 01, 05</w:t>
            </w:r>
          </w:p>
        </w:tc>
      </w:tr>
      <w:tr>
        <w:tc>
          <w:tcPr>
            <w:tcW w:type="dxa" w:w="516"/>
          </w:tcPr>
          <w:p>
            <w:pPr>
              <w:pStyle w:val="Compact"/>
              <w:spacing w:line="240" w:lineRule="auto" w:after="40"/>
              <w:jc w:val="left"/>
            </w:pPr>
            <w:r>
              <w:rPr>
                <w:sz w:val="19"/>
              </w:rPr>
              <w:t xml:space="preserve">FR-03</w:t>
            </w:r>
          </w:p>
        </w:tc>
        <w:tc>
          <w:tcPr>
            <w:tcW w:type="dxa" w:w="3870"/>
          </w:tcPr>
          <w:p>
            <w:pPr>
              <w:pStyle w:val="Compact"/>
              <w:spacing w:line="240" w:lineRule="auto" w:after="40"/>
              <w:jc w:val="left"/>
            </w:pPr>
            <w:r>
              <w:rPr>
                <w:sz w:val="19"/>
              </w:rPr>
              <w:t xml:space="preserve">Reconstruct the whole chest with SIRT, confined in depth to the patient</w:t>
            </w:r>
          </w:p>
        </w:tc>
        <w:tc>
          <w:tcPr>
            <w:tcW w:type="dxa" w:w="3870"/>
          </w:tcPr>
          <w:p>
            <w:pPr>
              <w:pStyle w:val="Compact"/>
              <w:spacing w:line="240" w:lineRule="auto" w:after="40"/>
              <w:jc w:val="left"/>
            </w:pPr>
            <w:r>
              <w:rPr>
                <w:sz w:val="19"/>
              </w:rPr>
              <w:t xml:space="preserve">Residual below 0.9 of its start; missing wedge visible (depth/in-plane</w:t>
            </w:r>
            <w:r>
              <w:rPr>
                <w:sz w:val="19"/>
              </w:rPr>
              <w:t xml:space="preserve"> </w:t>
            </w:r>
            <m:oMath>
              <m:r>
                <m:rPr>
                  <m:sty m:val="p"/>
                </m:rPr>
                <m:t>&gt;</m:t>
              </m:r>
              <m:r>
                <m:t>1.3</m:t>
              </m:r>
            </m:oMath>
            <w:r>
              <w:rPr>
                <w:sz w:val="19"/>
              </w:rPr>
              <w:t xml:space="preserve">)</w:t>
            </w:r>
          </w:p>
        </w:tc>
        <w:tc>
          <w:tcPr>
            <w:tcW w:type="dxa" w:w="774"/>
          </w:tcPr>
          <w:p>
            <w:pPr>
              <w:pStyle w:val="Compact"/>
              <w:spacing w:line="240" w:lineRule="auto" w:after="40"/>
              <w:jc w:val="left"/>
            </w:pPr>
            <w:r>
              <w:rPr>
                <w:sz w:val="19"/>
              </w:rPr>
              <w:t xml:space="preserve">Step 06</w:t>
            </w:r>
          </w:p>
        </w:tc>
      </w:tr>
      <w:tr>
        <w:tc>
          <w:tcPr>
            <w:tcW w:type="dxa" w:w="516"/>
          </w:tcPr>
          <w:p>
            <w:pPr>
              <w:pStyle w:val="Compact"/>
              <w:spacing w:line="240" w:lineRule="auto" w:after="40"/>
              <w:jc w:val="left"/>
            </w:pPr>
            <w:r>
              <w:rPr>
                <w:sz w:val="19"/>
              </w:rPr>
              <w:t xml:space="preserve">FR-04</w:t>
            </w:r>
          </w:p>
        </w:tc>
        <w:tc>
          <w:tcPr>
            <w:tcW w:type="dxa" w:w="3870"/>
          </w:tcPr>
          <w:p>
            <w:pPr>
              <w:pStyle w:val="Compact"/>
              <w:spacing w:line="240" w:lineRule="auto" w:after="40"/>
              <w:jc w:val="left"/>
            </w:pPr>
            <w:r>
              <w:rPr>
                <w:sz w:val="19"/>
              </w:rPr>
              <w:t xml:space="preserve">Suggest nodule candidates with a learned 3D detector</w:t>
            </w:r>
          </w:p>
        </w:tc>
        <w:tc>
          <w:tcPr>
            <w:tcW w:type="dxa" w:w="3870"/>
          </w:tcPr>
          <w:p>
            <w:pPr>
              <w:pStyle w:val="Compact"/>
              <w:spacing w:line="240" w:lineRule="auto" w:after="40"/>
              <w:jc w:val="left"/>
            </w:pPr>
            <w:r>
              <w:rPr>
                <w:sz w:val="19"/>
              </w:rPr>
              <w:t xml:space="preserve">Test CPM higher than a training-free baseline</w:t>
            </w:r>
          </w:p>
        </w:tc>
        <w:tc>
          <w:tcPr>
            <w:tcW w:type="dxa" w:w="774"/>
          </w:tcPr>
          <w:p>
            <w:pPr>
              <w:pStyle w:val="Compact"/>
              <w:spacing w:line="240" w:lineRule="auto" w:after="40"/>
              <w:jc w:val="left"/>
            </w:pPr>
            <w:r>
              <w:rPr>
                <w:sz w:val="19"/>
              </w:rPr>
              <w:t xml:space="preserve">Step 14</w:t>
            </w:r>
          </w:p>
        </w:tc>
      </w:tr>
      <w:tr>
        <w:tc>
          <w:tcPr>
            <w:tcW w:type="dxa" w:w="516"/>
          </w:tcPr>
          <w:p>
            <w:pPr>
              <w:pStyle w:val="Compact"/>
              <w:spacing w:line="240" w:lineRule="auto" w:after="40"/>
              <w:jc w:val="left"/>
            </w:pPr>
            <w:r>
              <w:rPr>
                <w:sz w:val="19"/>
              </w:rPr>
              <w:t xml:space="preserve">FR-05</w:t>
            </w:r>
          </w:p>
        </w:tc>
        <w:tc>
          <w:tcPr>
            <w:tcW w:type="dxa" w:w="3870"/>
          </w:tcPr>
          <w:p>
            <w:pPr>
              <w:pStyle w:val="Compact"/>
              <w:spacing w:line="240" w:lineRule="auto" w:after="40"/>
              <w:jc w:val="left"/>
            </w:pPr>
            <w:r>
              <w:rPr>
                <w:sz w:val="19"/>
              </w:rPr>
              <w:t xml:space="preserve">Reconstruct a 64 mm prism around a click</w:t>
            </w:r>
          </w:p>
        </w:tc>
        <w:tc>
          <w:tcPr>
            <w:tcW w:type="dxa" w:w="3870"/>
          </w:tcPr>
          <w:p>
            <w:pPr>
              <w:pStyle w:val="Compact"/>
              <w:spacing w:line="240" w:lineRule="auto" w:after="40"/>
              <w:jc w:val="left"/>
            </w:pPr>
            <w:r>
              <w:rPr>
                <w:sz w:val="19"/>
              </w:rPr>
              <w:t xml:space="preserve">Prism keeps the column’s attenuation (ratio</w:t>
            </w:r>
            <w:r>
              <w:rPr>
                <w:sz w:val="19"/>
              </w:rPr>
              <w:t xml:space="preserve"> </w:t>
            </w:r>
            <m:oMath>
              <m:r>
                <m:rPr>
                  <m:sty m:val="p"/>
                </m:rPr>
                <m:t>≈</m:t>
              </m:r>
              <m:r>
                <m:t>1</m:t>
              </m:r>
            </m:oMath>
            <w:r>
              <w:rPr>
                <w:sz w:val="19"/>
              </w:rPr>
              <w:t xml:space="preserve">)</w:t>
            </w:r>
          </w:p>
        </w:tc>
        <w:tc>
          <w:tcPr>
            <w:tcW w:type="dxa" w:w="774"/>
          </w:tcPr>
          <w:p>
            <w:pPr>
              <w:pStyle w:val="Compact"/>
              <w:spacing w:line="240" w:lineRule="auto" w:after="40"/>
              <w:jc w:val="left"/>
            </w:pPr>
            <w:r>
              <w:rPr>
                <w:sz w:val="19"/>
              </w:rPr>
              <w:t xml:space="preserve">Step 07</w:t>
            </w:r>
          </w:p>
        </w:tc>
      </w:tr>
      <w:tr>
        <w:tc>
          <w:tcPr>
            <w:tcW w:type="dxa" w:w="516"/>
          </w:tcPr>
          <w:p>
            <w:pPr>
              <w:pStyle w:val="Compact"/>
              <w:spacing w:line="240" w:lineRule="auto" w:after="40"/>
              <w:jc w:val="left"/>
            </w:pPr>
            <w:r>
              <w:rPr>
                <w:sz w:val="19"/>
              </w:rPr>
              <w:t xml:space="preserve">FR-06</w:t>
            </w:r>
          </w:p>
        </w:tc>
        <w:tc>
          <w:tcPr>
            <w:tcW w:type="dxa" w:w="3870"/>
          </w:tcPr>
          <w:p>
            <w:pPr>
              <w:pStyle w:val="Compact"/>
              <w:spacing w:line="240" w:lineRule="auto" w:after="40"/>
              <w:jc w:val="left"/>
            </w:pPr>
            <w:r>
              <w:rPr>
                <w:sz w:val="19"/>
              </w:rPr>
              <w:t xml:space="preserve">Generate eight X-ray-consistent CT hypotheses with the diffusion prior</w:t>
            </w:r>
          </w:p>
        </w:tc>
        <w:tc>
          <w:tcPr>
            <w:tcW w:type="dxa" w:w="3870"/>
          </w:tcPr>
          <w:p>
            <w:pPr>
              <w:pStyle w:val="Compact"/>
              <w:spacing w:line="240" w:lineRule="auto" w:after="40"/>
              <w:jc w:val="left"/>
            </w:pPr>
            <w:r>
              <w:rPr>
                <w:sz w:val="19"/>
              </w:rPr>
              <w:t xml:space="preserve">Nodule-box PSNR of samples above the physics-only input on held-out pairs</w:t>
            </w:r>
          </w:p>
        </w:tc>
        <w:tc>
          <w:tcPr>
            <w:tcW w:type="dxa" w:w="774"/>
          </w:tcPr>
          <w:p>
            <w:pPr>
              <w:pStyle w:val="Compact"/>
              <w:spacing w:line="240" w:lineRule="auto" w:after="40"/>
              <w:jc w:val="left"/>
            </w:pPr>
            <w:r>
              <w:rPr>
                <w:sz w:val="19"/>
              </w:rPr>
              <w:t xml:space="preserve">Steps 08, 15</w:t>
            </w:r>
          </w:p>
        </w:tc>
      </w:tr>
      <w:tr>
        <w:tc>
          <w:tcPr>
            <w:tcW w:type="dxa" w:w="516"/>
          </w:tcPr>
          <w:p>
            <w:pPr>
              <w:pStyle w:val="Compact"/>
              <w:spacing w:line="240" w:lineRule="auto" w:after="40"/>
              <w:jc w:val="left"/>
            </w:pPr>
            <w:r>
              <w:rPr>
                <w:sz w:val="19"/>
              </w:rPr>
              <w:t xml:space="preserve">FR-07</w:t>
            </w:r>
          </w:p>
        </w:tc>
        <w:tc>
          <w:tcPr>
            <w:tcW w:type="dxa" w:w="3870"/>
          </w:tcPr>
          <w:p>
            <w:pPr>
              <w:pStyle w:val="Compact"/>
              <w:spacing w:line="240" w:lineRule="auto" w:after="40"/>
              <w:jc w:val="left"/>
            </w:pPr>
            <w:r>
              <w:rPr>
                <w:sz w:val="19"/>
              </w:rPr>
              <w:t xml:space="preserve">Fit 3D Gaussians; measure mass, volume, 2D diameter and EUPS category</w:t>
            </w:r>
          </w:p>
        </w:tc>
        <w:tc>
          <w:tcPr>
            <w:tcW w:type="dxa" w:w="3870"/>
          </w:tcPr>
          <w:p>
            <w:pPr>
              <w:pStyle w:val="Compact"/>
              <w:spacing w:line="240" w:lineRule="auto" w:after="40"/>
              <w:jc w:val="left"/>
            </w:pPr>
            <w:r>
              <w:rPr>
                <w:sz w:val="19"/>
              </w:rPr>
              <w:t xml:space="preserve">Finite values; failures reported, not hidden</w:t>
            </w:r>
          </w:p>
        </w:tc>
        <w:tc>
          <w:tcPr>
            <w:tcW w:type="dxa" w:w="774"/>
          </w:tcPr>
          <w:p>
            <w:pPr>
              <w:pStyle w:val="Compact"/>
              <w:spacing w:line="240" w:lineRule="auto" w:after="40"/>
              <w:jc w:val="left"/>
            </w:pPr>
            <w:r>
              <w:rPr>
                <w:sz w:val="19"/>
              </w:rPr>
              <w:t xml:space="preserve">Step 09</w:t>
            </w:r>
          </w:p>
        </w:tc>
      </w:tr>
      <w:tr>
        <w:tc>
          <w:tcPr>
            <w:tcW w:type="dxa" w:w="516"/>
          </w:tcPr>
          <w:p>
            <w:pPr>
              <w:pStyle w:val="Compact"/>
              <w:spacing w:line="240" w:lineRule="auto" w:after="40"/>
              <w:jc w:val="left"/>
            </w:pPr>
            <w:r>
              <w:rPr>
                <w:sz w:val="19"/>
              </w:rPr>
              <w:t xml:space="preserve">FR-08</w:t>
            </w:r>
          </w:p>
        </w:tc>
        <w:tc>
          <w:tcPr>
            <w:tcW w:type="dxa" w:w="3870"/>
          </w:tcPr>
          <w:p>
            <w:pPr>
              <w:pStyle w:val="Compact"/>
              <w:spacing w:line="240" w:lineRule="auto" w:after="40"/>
              <w:jc w:val="left"/>
            </w:pPr>
            <w:r>
              <w:rPr>
                <w:sz w:val="19"/>
              </w:rPr>
              <w:t xml:space="preserve">Calibrate 90% intervals and category probabilities</w:t>
            </w:r>
          </w:p>
        </w:tc>
        <w:tc>
          <w:tcPr>
            <w:tcW w:type="dxa" w:w="3870"/>
          </w:tcPr>
          <w:p>
            <w:pPr>
              <w:pStyle w:val="Compact"/>
              <w:spacing w:line="240" w:lineRule="auto" w:after="40"/>
              <w:jc w:val="left"/>
            </w:pPr>
            <w:r>
              <w:rPr>
                <w:sz w:val="19"/>
              </w:rPr>
              <w:t xml:space="preserve">Test coverage</w:t>
            </w:r>
            <w:r>
              <w:rPr>
                <w:sz w:val="19"/>
              </w:rPr>
              <w:t xml:space="preserve"> </w:t>
            </w:r>
            <m:oMath>
              <m:r>
                <m:t>90</m:t>
              </m:r>
              <m:r>
                <m:rPr>
                  <m:sty m:val="p"/>
                </m:rPr>
                <m:t>±</m:t>
              </m:r>
              <m:r>
                <m:t>3</m:t>
              </m:r>
              <m:r>
                <m:rPr>
                  <m:sty m:val="p"/>
                </m:rPr>
                <m:t>%</m:t>
              </m:r>
            </m:oMath>
            <w:r>
              <w:rPr>
                <w:sz w:val="19"/>
              </w:rPr>
              <w:t xml:space="preserve">; Brier score below the raw ensemble vote</w:t>
            </w:r>
          </w:p>
        </w:tc>
        <w:tc>
          <w:tcPr>
            <w:tcW w:type="dxa" w:w="774"/>
          </w:tcPr>
          <w:p>
            <w:pPr>
              <w:pStyle w:val="Compact"/>
              <w:spacing w:line="240" w:lineRule="auto" w:after="40"/>
              <w:jc w:val="left"/>
            </w:pPr>
            <w:r>
              <w:rPr>
                <w:sz w:val="19"/>
              </w:rPr>
              <w:t xml:space="preserve">Steps 10, 16</w:t>
            </w:r>
          </w:p>
        </w:tc>
      </w:tr>
      <w:tr>
        <w:tc>
          <w:tcPr>
            <w:tcW w:type="dxa" w:w="516"/>
          </w:tcPr>
          <w:p>
            <w:pPr>
              <w:pStyle w:val="Compact"/>
              <w:spacing w:line="240" w:lineRule="auto" w:after="40"/>
              <w:jc w:val="left"/>
            </w:pPr>
            <w:r>
              <w:rPr>
                <w:sz w:val="19"/>
              </w:rPr>
              <w:t xml:space="preserve">FR-09</w:t>
            </w:r>
          </w:p>
        </w:tc>
        <w:tc>
          <w:tcPr>
            <w:tcW w:type="dxa" w:w="3870"/>
          </w:tcPr>
          <w:p>
            <w:pPr>
              <w:pStyle w:val="Compact"/>
              <w:spacing w:line="240" w:lineRule="auto" w:after="40"/>
              <w:jc w:val="left"/>
            </w:pPr>
            <w:r>
              <w:rPr>
                <w:sz w:val="19"/>
              </w:rPr>
              <w:t xml:space="preserve">Measure growth on virtual follow-ups (VDT, MDT, NELSON categories)</w:t>
            </w:r>
          </w:p>
        </w:tc>
        <w:tc>
          <w:tcPr>
            <w:tcW w:type="dxa" w:w="3870"/>
          </w:tcPr>
          <w:p>
            <w:pPr>
              <w:pStyle w:val="Compact"/>
              <w:spacing w:line="240" w:lineRule="auto" w:after="40"/>
              <w:jc w:val="left"/>
            </w:pPr>
            <w:r>
              <w:rPr>
                <w:sz w:val="19"/>
              </w:rPr>
              <w:t xml:space="preserve">Doubling-time error and category accuracy reported</w:t>
            </w:r>
          </w:p>
        </w:tc>
        <w:tc>
          <w:tcPr>
            <w:tcW w:type="dxa" w:w="774"/>
          </w:tcPr>
          <w:p>
            <w:pPr>
              <w:pStyle w:val="Compact"/>
              <w:spacing w:line="240" w:lineRule="auto" w:after="40"/>
              <w:jc w:val="left"/>
            </w:pPr>
            <w:r>
              <w:rPr>
                <w:sz w:val="19"/>
              </w:rPr>
              <w:t xml:space="preserve">Step 11</w:t>
            </w:r>
          </w:p>
        </w:tc>
      </w:tr>
      <w:tr>
        <w:tc>
          <w:tcPr>
            <w:tcW w:type="dxa" w:w="516"/>
          </w:tcPr>
          <w:p>
            <w:pPr>
              <w:pStyle w:val="Compact"/>
              <w:spacing w:line="240" w:lineRule="auto" w:after="40"/>
              <w:jc w:val="left"/>
            </w:pPr>
            <w:r>
              <w:rPr>
                <w:sz w:val="19"/>
              </w:rPr>
              <w:t xml:space="preserve">FR-10</w:t>
            </w:r>
          </w:p>
        </w:tc>
        <w:tc>
          <w:tcPr>
            <w:tcW w:type="dxa" w:w="3870"/>
          </w:tcPr>
          <w:p>
            <w:pPr>
              <w:pStyle w:val="Compact"/>
              <w:spacing w:line="240" w:lineRule="auto" w:after="40"/>
              <w:jc w:val="left"/>
            </w:pPr>
            <w:r>
              <w:rPr>
                <w:sz w:val="19"/>
              </w:rPr>
              <w:t xml:space="preserve">Explain each result: seen/unseen split, detector saliency, error drivers</w:t>
            </w:r>
          </w:p>
        </w:tc>
        <w:tc>
          <w:tcPr>
            <w:tcW w:type="dxa" w:w="3870"/>
          </w:tcPr>
          <w:p>
            <w:pPr>
              <w:pStyle w:val="Compact"/>
              <w:spacing w:line="240" w:lineRule="auto" w:after="40"/>
              <w:jc w:val="left"/>
            </w:pPr>
            <w:r>
              <w:rPr>
                <w:sz w:val="19"/>
              </w:rPr>
              <w:t xml:space="preserve">Tables and figures produced on test nodules</w:t>
            </w:r>
          </w:p>
        </w:tc>
        <w:tc>
          <w:tcPr>
            <w:tcW w:type="dxa" w:w="774"/>
          </w:tcPr>
          <w:p>
            <w:pPr>
              <w:pStyle w:val="Compact"/>
              <w:spacing w:line="240" w:lineRule="auto" w:after="40"/>
              <w:jc w:val="left"/>
            </w:pPr>
            <w:r>
              <w:rPr>
                <w:sz w:val="19"/>
              </w:rPr>
              <w:t xml:space="preserve">Step 17</w:t>
            </w:r>
          </w:p>
        </w:tc>
      </w:tr>
      <w:tr>
        <w:tc>
          <w:tcPr>
            <w:tcW w:type="dxa" w:w="516"/>
          </w:tcPr>
          <w:p>
            <w:pPr>
              <w:pStyle w:val="Compact"/>
              <w:spacing w:line="240" w:lineRule="auto" w:after="40"/>
              <w:jc w:val="left"/>
            </w:pPr>
            <w:r>
              <w:rPr>
                <w:sz w:val="19"/>
              </w:rPr>
              <w:t xml:space="preserve">FR-11</w:t>
            </w:r>
          </w:p>
        </w:tc>
        <w:tc>
          <w:tcPr>
            <w:tcW w:type="dxa" w:w="3870"/>
          </w:tcPr>
          <w:p>
            <w:pPr>
              <w:pStyle w:val="Compact"/>
              <w:spacing w:line="240" w:lineRule="auto" w:after="40"/>
              <w:jc w:val="left"/>
            </w:pPr>
            <w:r>
              <w:rPr>
                <w:sz w:val="19"/>
              </w:rPr>
              <w:t xml:space="preserve">Interactive click-to-3D application and HTML report of all results</w:t>
            </w:r>
          </w:p>
        </w:tc>
        <w:tc>
          <w:tcPr>
            <w:tcW w:type="dxa" w:w="3870"/>
          </w:tcPr>
          <w:p>
            <w:pPr>
              <w:pStyle w:val="Compact"/>
              <w:spacing w:line="240" w:lineRule="auto" w:after="40"/>
              <w:jc w:val="left"/>
            </w:pPr>
            <w:r>
              <w:rPr>
                <w:sz w:val="19"/>
              </w:rPr>
              <w:t xml:space="preserve">Demo self-test passes; report lists every check</w:t>
            </w:r>
          </w:p>
        </w:tc>
        <w:tc>
          <w:tcPr>
            <w:tcW w:type="dxa" w:w="774"/>
          </w:tcPr>
          <w:p>
            <w:pPr>
              <w:pStyle w:val="Compact"/>
              <w:spacing w:line="240" w:lineRule="auto" w:after="40"/>
              <w:jc w:val="left"/>
            </w:pPr>
            <w:r>
              <w:rPr>
                <w:sz w:val="19"/>
              </w:rPr>
              <w:t xml:space="preserve">Steps 12, 18</w:t>
            </w:r>
          </w:p>
        </w:tc>
      </w:tr>
    </w:tbl>
    <w:p>
      <w:pPr>
        <w:pStyle w:val="BodyText"/>
        <w:jc w:val="center"/>
      </w:pPr>
      <w:r>
        <w:rPr>
          <w:bCs/>
          <w:b/>
          <w:iCs/>
          <w:i/>
          <w:sz w:val="20"/>
        </w:rPr>
        <w:t xml:space="preserve">Table 3.4:</w:t>
      </w:r>
      <w:r>
        <w:rPr>
          <w:iCs/>
          <w:i/>
          <w:sz w:val="20"/>
        </w:rPr>
        <w:t xml:space="preserve"> </w:t>
      </w:r>
      <w:r>
        <w:rPr>
          <w:iCs/>
          <w:i/>
          <w:sz w:val="20"/>
        </w:rPr>
        <w:t xml:space="preserve">Nonfunctional requirements.</w:t>
      </w:r>
    </w:p>
    <w:tbl>
      <w:tblPr>
        <w:tblStyle w:val="Table"/>
        <w:tblW w:type="auto" w:w="0"/>
        <w:tblLook w:firstRow="1" w:lastRow="0" w:firstColumn="0" w:lastColumn="0" w:noHBand="0" w:noVBand="0" w:val="0020"/>
        <w:jc w:val="start"/>
        <w:tblBorders>
          <w:top w:val="single" w:sz="12" w:color="000000"/>
          <w:bottom w:val="single" w:sz="12" w:color="000000"/>
          <w:insideH w:val="single" w:sz="6" w:color="808080"/>
        </w:tblBorders>
      </w:tblPr>
      <w:tblGrid>
        <w:gridCol w:w="1733"/>
        <w:gridCol w:w="2961"/>
        <w:gridCol w:w="4333"/>
      </w:tblGrid>
      <w:tr>
        <w:trPr>
          <w:tblHeader w:val="true"/>
        </w:trPr>
        <w:tc>
          <w:tcPr>
            <w:tcW w:type="dxa" w:w="1734"/>
          </w:tcPr>
          <w:p>
            <w:pPr>
              <w:pStyle w:val="Compact"/>
              <w:spacing w:line="240" w:lineRule="auto" w:after="40"/>
              <w:jc w:val="left"/>
            </w:pPr>
            <w:r>
              <w:rPr>
                <w:b/>
                <w:sz w:val="19"/>
              </w:rPr>
              <w:t xml:space="preserve">ID</w:t>
            </w:r>
          </w:p>
        </w:tc>
        <w:tc>
          <w:tcPr>
            <w:tcW w:type="dxa" w:w="2962"/>
          </w:tcPr>
          <w:p>
            <w:pPr>
              <w:pStyle w:val="Compact"/>
              <w:spacing w:line="240" w:lineRule="auto" w:after="40"/>
              <w:jc w:val="left"/>
            </w:pPr>
            <w:r>
              <w:rPr>
                <w:b/>
                <w:sz w:val="19"/>
              </w:rPr>
              <w:t xml:space="preserve">Requirement</w:t>
            </w:r>
          </w:p>
        </w:tc>
        <w:tc>
          <w:tcPr>
            <w:tcW w:type="dxa" w:w="4334"/>
          </w:tcPr>
          <w:p>
            <w:pPr>
              <w:pStyle w:val="Compact"/>
              <w:spacing w:line="240" w:lineRule="auto" w:after="40"/>
              <w:jc w:val="left"/>
            </w:pPr>
            <w:r>
              <w:rPr>
                <w:b/>
                <w:sz w:val="19"/>
              </w:rPr>
              <w:t xml:space="preserve">Acceptance criterion</w:t>
            </w:r>
          </w:p>
        </w:tc>
      </w:tr>
      <w:tr>
        <w:tc>
          <w:tcPr>
            <w:tcW w:type="dxa" w:w="1734"/>
          </w:tcPr>
          <w:p>
            <w:pPr>
              <w:pStyle w:val="Compact"/>
              <w:spacing w:line="240" w:lineRule="auto" w:after="40"/>
              <w:jc w:val="left"/>
            </w:pPr>
            <w:r>
              <w:rPr>
                <w:sz w:val="19"/>
              </w:rPr>
              <w:t xml:space="preserve">NFR-01 Performance</w:t>
            </w:r>
          </w:p>
        </w:tc>
        <w:tc>
          <w:tcPr>
            <w:tcW w:type="dxa" w:w="2962"/>
          </w:tcPr>
          <w:p>
            <w:pPr>
              <w:pStyle w:val="Compact"/>
              <w:spacing w:line="240" w:lineRule="auto" w:after="40"/>
              <w:jc w:val="left"/>
            </w:pPr>
            <w:r>
              <w:rPr>
                <w:sz w:val="19"/>
              </w:rPr>
              <w:t xml:space="preserve">One click gives a result quickly</w:t>
            </w:r>
          </w:p>
        </w:tc>
        <w:tc>
          <w:tcPr>
            <w:tcW w:type="dxa" w:w="4334"/>
          </w:tcPr>
          <w:p>
            <w:pPr>
              <w:pStyle w:val="Compact"/>
              <w:spacing w:line="240" w:lineRule="auto" w:after="40"/>
              <w:jc w:val="left"/>
            </w:pPr>
            <m:oMath>
              <m:r>
                <m:rPr>
                  <m:sty m:val="p"/>
                </m:rPr>
                <m:t>≤</m:t>
              </m:r>
              <m:r>
                <m:t>60</m:t>
              </m:r>
            </m:oMath>
            <w:r>
              <w:rPr>
                <w:sz w:val="19"/>
              </w:rPr>
              <w:t xml:space="preserve"> s per nodule on one GPU</w:t>
            </w:r>
          </w:p>
        </w:tc>
      </w:tr>
      <w:tr>
        <w:tc>
          <w:tcPr>
            <w:tcW w:type="dxa" w:w="1734"/>
          </w:tcPr>
          <w:p>
            <w:pPr>
              <w:pStyle w:val="Compact"/>
              <w:spacing w:line="240" w:lineRule="auto" w:after="40"/>
              <w:jc w:val="left"/>
            </w:pPr>
            <w:r>
              <w:rPr>
                <w:sz w:val="19"/>
              </w:rPr>
              <w:t xml:space="preserve">NFR-02 Cost</w:t>
            </w:r>
          </w:p>
        </w:tc>
        <w:tc>
          <w:tcPr>
            <w:tcW w:type="dxa" w:w="2962"/>
          </w:tcPr>
          <w:p>
            <w:pPr>
              <w:pStyle w:val="Compact"/>
              <w:spacing w:line="240" w:lineRule="auto" w:after="40"/>
              <w:jc w:val="left"/>
            </w:pPr>
            <w:r>
              <w:rPr>
                <w:sz w:val="19"/>
              </w:rPr>
              <w:t xml:space="preserve">The full study is affordable for students</w:t>
            </w:r>
          </w:p>
        </w:tc>
        <w:tc>
          <w:tcPr>
            <w:tcW w:type="dxa" w:w="4334"/>
          </w:tcPr>
          <w:p>
            <w:pPr>
              <w:pStyle w:val="Compact"/>
              <w:spacing w:line="240" w:lineRule="auto" w:after="40"/>
              <w:jc w:val="left"/>
            </w:pPr>
            <m:oMath>
              <m:r>
                <m:rPr>
                  <m:sty m:val="p"/>
                </m:rPr>
                <m:t>≤</m:t>
              </m:r>
            </m:oMath>
            <w:r>
              <w:rPr>
                <w:sz w:val="19"/>
              </w:rPr>
              <w:t xml:space="preserve"> </w:t>
            </w:r>
            <w:r>
              <w:rPr>
                <w:sz w:val="19"/>
              </w:rPr>
              <w:t xml:space="preserve">US$50 of rented GPU</w:t>
            </w:r>
          </w:p>
        </w:tc>
      </w:tr>
      <w:tr>
        <w:tc>
          <w:tcPr>
            <w:tcW w:type="dxa" w:w="1734"/>
          </w:tcPr>
          <w:p>
            <w:pPr>
              <w:pStyle w:val="Compact"/>
              <w:spacing w:line="240" w:lineRule="auto" w:after="40"/>
              <w:jc w:val="left"/>
            </w:pPr>
            <w:r>
              <w:rPr>
                <w:sz w:val="19"/>
              </w:rPr>
              <w:t xml:space="preserve">NFR-03 Reproducibility</w:t>
            </w:r>
          </w:p>
        </w:tc>
        <w:tc>
          <w:tcPr>
            <w:tcW w:type="dxa" w:w="2962"/>
          </w:tcPr>
          <w:p>
            <w:pPr>
              <w:pStyle w:val="Compact"/>
              <w:spacing w:line="240" w:lineRule="auto" w:after="40"/>
              <w:jc w:val="left"/>
            </w:pPr>
            <w:r>
              <w:rPr>
                <w:sz w:val="19"/>
              </w:rPr>
              <w:t xml:space="preserve">Same input, same output; checkable steps</w:t>
            </w:r>
          </w:p>
        </w:tc>
        <w:tc>
          <w:tcPr>
            <w:tcW w:type="dxa" w:w="4334"/>
          </w:tcPr>
          <w:p>
            <w:pPr>
              <w:pStyle w:val="Compact"/>
              <w:spacing w:line="240" w:lineRule="auto" w:after="40"/>
              <w:jc w:val="left"/>
            </w:pPr>
            <w:r>
              <w:rPr>
                <w:sz w:val="19"/>
              </w:rPr>
              <w:t xml:space="preserve">Fixed seed, one configuration file, PASS/FAIL checks, unit tests</w:t>
            </w:r>
          </w:p>
        </w:tc>
      </w:tr>
      <w:tr>
        <w:tc>
          <w:tcPr>
            <w:tcW w:type="dxa" w:w="1734"/>
          </w:tcPr>
          <w:p>
            <w:pPr>
              <w:pStyle w:val="Compact"/>
              <w:spacing w:line="240" w:lineRule="auto" w:after="40"/>
              <w:jc w:val="left"/>
            </w:pPr>
            <w:r>
              <w:rPr>
                <w:sz w:val="19"/>
              </w:rPr>
              <w:t xml:space="preserve">NFR-04 Validity</w:t>
            </w:r>
          </w:p>
        </w:tc>
        <w:tc>
          <w:tcPr>
            <w:tcW w:type="dxa" w:w="2962"/>
          </w:tcPr>
          <w:p>
            <w:pPr>
              <w:pStyle w:val="Compact"/>
              <w:spacing w:line="240" w:lineRule="auto" w:after="40"/>
              <w:jc w:val="left"/>
            </w:pPr>
            <w:r>
              <w:rPr>
                <w:sz w:val="19"/>
              </w:rPr>
              <w:t xml:space="preserve">No optimistic bias</w:t>
            </w:r>
          </w:p>
        </w:tc>
        <w:tc>
          <w:tcPr>
            <w:tcW w:type="dxa" w:w="4334"/>
          </w:tcPr>
          <w:p>
            <w:pPr>
              <w:pStyle w:val="Compact"/>
              <w:spacing w:line="240" w:lineRule="auto" w:after="40"/>
              <w:jc w:val="left"/>
            </w:pPr>
            <w:r>
              <w:rPr>
                <w:sz w:val="19"/>
              </w:rPr>
              <w:t xml:space="preserve">Test patients unused for training or tuning; simulation and reconstruction on different grids</w:t>
            </w:r>
          </w:p>
        </w:tc>
      </w:tr>
      <w:tr>
        <w:tc>
          <w:tcPr>
            <w:tcW w:type="dxa" w:w="1734"/>
          </w:tcPr>
          <w:p>
            <w:pPr>
              <w:pStyle w:val="Compact"/>
              <w:spacing w:line="240" w:lineRule="auto" w:after="40"/>
              <w:jc w:val="left"/>
            </w:pPr>
            <w:r>
              <w:rPr>
                <w:sz w:val="19"/>
              </w:rPr>
              <w:t xml:space="preserve">NFR-05 Safety</w:t>
            </w:r>
          </w:p>
        </w:tc>
        <w:tc>
          <w:tcPr>
            <w:tcW w:type="dxa" w:w="2962"/>
          </w:tcPr>
          <w:p>
            <w:pPr>
              <w:pStyle w:val="Compact"/>
              <w:spacing w:line="240" w:lineRule="auto" w:after="40"/>
              <w:jc w:val="left"/>
            </w:pPr>
            <w:r>
              <w:rPr>
                <w:sz w:val="19"/>
              </w:rPr>
              <w:t xml:space="preserve">Never report a bare number</w:t>
            </w:r>
          </w:p>
        </w:tc>
        <w:tc>
          <w:tcPr>
            <w:tcW w:type="dxa" w:w="4334"/>
          </w:tcPr>
          <w:p>
            <w:pPr>
              <w:pStyle w:val="Compact"/>
              <w:spacing w:line="240" w:lineRule="auto" w:after="40"/>
              <w:jc w:val="left"/>
            </w:pPr>
            <w:r>
              <w:rPr>
                <w:sz w:val="19"/>
              </w:rPr>
              <w:t xml:space="preserve">Every number has an interval; low-confidence flag when fewer than half of the hypotheses find the nodule or the spread exceeds</w:t>
            </w:r>
            <w:r>
              <w:rPr>
                <w:sz w:val="19"/>
              </w:rPr>
              <w:t xml:space="preserve"> </w:t>
            </w:r>
            <m:oMath>
              <m:r>
                <m:t>10</m:t>
              </m:r>
              <m:r>
                <m:rPr>
                  <m:sty m:val="p"/>
                </m:rPr>
                <m:t>×</m:t>
              </m:r>
            </m:oMath>
          </w:p>
        </w:tc>
      </w:tr>
      <w:tr>
        <w:tc>
          <w:tcPr>
            <w:tcW w:type="dxa" w:w="1734"/>
          </w:tcPr>
          <w:p>
            <w:pPr>
              <w:pStyle w:val="Compact"/>
              <w:spacing w:line="240" w:lineRule="auto" w:after="40"/>
              <w:jc w:val="left"/>
            </w:pPr>
            <w:r>
              <w:rPr>
                <w:sz w:val="19"/>
              </w:rPr>
              <w:t xml:space="preserve">NFR-06 Usability</w:t>
            </w:r>
          </w:p>
        </w:tc>
        <w:tc>
          <w:tcPr>
            <w:tcW w:type="dxa" w:w="2962"/>
          </w:tcPr>
          <w:p>
            <w:pPr>
              <w:pStyle w:val="Compact"/>
              <w:spacing w:line="240" w:lineRule="auto" w:after="40"/>
              <w:jc w:val="left"/>
            </w:pPr>
            <w:r>
              <w:rPr>
                <w:sz w:val="19"/>
              </w:rPr>
              <w:t xml:space="preserve">Usable by a clinician without coding</w:t>
            </w:r>
          </w:p>
        </w:tc>
        <w:tc>
          <w:tcPr>
            <w:tcW w:type="dxa" w:w="4334"/>
          </w:tcPr>
          <w:p>
            <w:pPr>
              <w:pStyle w:val="Compact"/>
              <w:spacing w:line="240" w:lineRule="auto" w:after="40"/>
              <w:jc w:val="left"/>
            </w:pPr>
            <w:r>
              <w:rPr>
                <w:sz w:val="19"/>
              </w:rPr>
              <w:t xml:space="preserve">Browser interface, one click per nodule</w:t>
            </w:r>
          </w:p>
        </w:tc>
      </w:tr>
      <w:tr>
        <w:tc>
          <w:tcPr>
            <w:tcW w:type="dxa" w:w="1734"/>
          </w:tcPr>
          <w:p>
            <w:pPr>
              <w:pStyle w:val="Compact"/>
              <w:spacing w:line="240" w:lineRule="auto" w:after="40"/>
              <w:jc w:val="left"/>
            </w:pPr>
            <w:r>
              <w:rPr>
                <w:sz w:val="19"/>
              </w:rPr>
              <w:t xml:space="preserve">NFR-07 Portability</w:t>
            </w:r>
          </w:p>
        </w:tc>
        <w:tc>
          <w:tcPr>
            <w:tcW w:type="dxa" w:w="2962"/>
          </w:tcPr>
          <w:p>
            <w:pPr>
              <w:pStyle w:val="Compact"/>
              <w:spacing w:line="240" w:lineRule="auto" w:after="40"/>
              <w:jc w:val="left"/>
            </w:pPr>
            <w:r>
              <w:rPr>
                <w:sz w:val="19"/>
              </w:rPr>
              <w:t xml:space="preserve">Runs on common hardware</w:t>
            </w:r>
          </w:p>
        </w:tc>
        <w:tc>
          <w:tcPr>
            <w:tcW w:type="dxa" w:w="4334"/>
          </w:tcPr>
          <w:p>
            <w:pPr>
              <w:pStyle w:val="Compact"/>
              <w:spacing w:line="240" w:lineRule="auto" w:after="40"/>
              <w:jc w:val="left"/>
            </w:pPr>
            <w:r>
              <w:rPr>
                <w:sz w:val="19"/>
              </w:rPr>
              <w:t xml:space="preserve">CPU smoke test; GPU with</w:t>
            </w:r>
            <w:r>
              <w:rPr>
                <w:sz w:val="19"/>
              </w:rPr>
              <w:t xml:space="preserve"> </w:t>
            </w:r>
            <m:oMath>
              <m:r>
                <m:rPr>
                  <m:sty m:val="p"/>
                </m:rPr>
                <m:t>≥</m:t>
              </m:r>
              <m:r>
                <m:t>24</m:t>
              </m:r>
            </m:oMath>
            <w:r>
              <w:rPr>
                <w:sz w:val="19"/>
              </w:rPr>
              <w:t xml:space="preserve"> GB for training</w:t>
            </w:r>
          </w:p>
        </w:tc>
      </w:tr>
      <w:tr>
        <w:tc>
          <w:tcPr>
            <w:tcW w:type="dxa" w:w="1734"/>
          </w:tcPr>
          <w:p>
            <w:pPr>
              <w:pStyle w:val="Compact"/>
              <w:spacing w:line="240" w:lineRule="auto" w:after="40"/>
              <w:jc w:val="left"/>
            </w:pPr>
            <w:r>
              <w:rPr>
                <w:sz w:val="19"/>
              </w:rPr>
              <w:t xml:space="preserve">NFR-08 Privacy</w:t>
            </w:r>
          </w:p>
        </w:tc>
        <w:tc>
          <w:tcPr>
            <w:tcW w:type="dxa" w:w="2962"/>
          </w:tcPr>
          <w:p>
            <w:pPr>
              <w:pStyle w:val="Compact"/>
              <w:spacing w:line="240" w:lineRule="auto" w:after="40"/>
              <w:jc w:val="left"/>
            </w:pPr>
            <w:r>
              <w:rPr>
                <w:sz w:val="19"/>
              </w:rPr>
              <w:t xml:space="preserve">No identifiable patient data</w:t>
            </w:r>
          </w:p>
        </w:tc>
        <w:tc>
          <w:tcPr>
            <w:tcW w:type="dxa" w:w="4334"/>
          </w:tcPr>
          <w:p>
            <w:pPr>
              <w:pStyle w:val="Compact"/>
              <w:spacing w:line="240" w:lineRule="auto" w:after="40"/>
              <w:jc w:val="left"/>
            </w:pPr>
            <w:r>
              <w:rPr>
                <w:sz w:val="19"/>
              </w:rPr>
              <w:t xml:space="preserve">Only de-identified public TCIA data</w:t>
            </w:r>
          </w:p>
        </w:tc>
      </w:tr>
    </w:tbl>
    <w:bookmarkEnd w:id="59"/>
    <w:bookmarkStart w:id="63" w:name="context-diagram"/>
    <w:p>
      <w:pPr>
        <w:pStyle w:val="Heading3"/>
      </w:pPr>
      <w:r>
        <w:t xml:space="preserve">3.1.2 Context Diagram</w:t>
      </w:r>
    </w:p>
    <w:p>
      <w:pPr>
        <w:pStyle w:val="FirstParagraph"/>
      </w:pPr>
      <w:r>
        <w:t xml:space="preserve">The context diagram (Figure 3.1) shows MedLift-3D as a single process with its external entities. At run time the clinician is the only actor: they send a case, a click and a depth, and receive the measurement report. The TCIA archive supplies CT scans with the radiologists’ annotations, and the cloud GPU provider runs the training and evaluation jobs and returns the trained models and results; both are needed to build and evaluate the system, not to use it.</w:t>
      </w:r>
    </w:p>
    <w:p>
      <w:pPr>
        <w:pStyle w:val="BodyText"/>
        <w:jc w:val="center"/>
      </w:pPr>
      <w:r>
        <w:drawing>
          <wp:inline>
            <wp:extent cx="5334000" cy="3141828"/>
            <wp:effectExtent b="0" l="0" r="0" t="0"/>
            <wp:docPr descr="image" title="" id="61" name="Picture"/>
            <a:graphic>
              <a:graphicData uri="http://schemas.openxmlformats.org/drawingml/2006/picture">
                <pic:pic>
                  <pic:nvPicPr>
                    <pic:cNvPr descr="/home/user/medlift3d/report/docx_build/figs/fig_context.png" id="62" name="Picture"/>
                    <pic:cNvPicPr>
                      <a:picLocks noChangeArrowheads="1" noChangeAspect="1"/>
                    </pic:cNvPicPr>
                  </pic:nvPicPr>
                  <pic:blipFill>
                    <a:blip r:embed="rId60"/>
                    <a:stretch>
                      <a:fillRect/>
                    </a:stretch>
                  </pic:blipFill>
                  <pic:spPr bwMode="auto">
                    <a:xfrm>
                      <a:off x="0" y="0"/>
                      <a:ext cx="5334000" cy="3141828"/>
                    </a:xfrm>
                    <a:prstGeom prst="rect">
                      <a:avLst/>
                    </a:prstGeom>
                    <a:noFill/>
                    <a:ln w="9525">
                      <a:noFill/>
                      <a:headEnd/>
                      <a:tailEnd/>
                    </a:ln>
                  </pic:spPr>
                </pic:pic>
              </a:graphicData>
            </a:graphic>
          </wp:inline>
        </w:drawing>
      </w:r>
    </w:p>
    <w:p>
      <w:pPr>
        <w:pStyle w:val="BodyText"/>
        <w:jc w:val="center"/>
      </w:pPr>
      <w:r>
        <w:rPr>
          <w:bCs/>
          <w:b/>
          <w:iCs/>
          <w:i/>
          <w:sz w:val="20"/>
        </w:rPr>
        <w:t xml:space="preserve">Figure 3.1:</w:t>
      </w:r>
      <w:r>
        <w:rPr>
          <w:iCs/>
          <w:i/>
          <w:sz w:val="20"/>
        </w:rPr>
        <w:t xml:space="preserve"> </w:t>
      </w:r>
      <w:r>
        <w:rPr>
          <w:iCs/>
          <w:i/>
          <w:sz w:val="20"/>
        </w:rPr>
        <w:t xml:space="preserve">Context diagram (DFD level 0) in Gane–Sarson notation.</w:t>
      </w:r>
    </w:p>
    <w:bookmarkEnd w:id="63"/>
    <w:bookmarkStart w:id="67" w:name="data-flow-diagram-level-1"/>
    <w:p>
      <w:pPr>
        <w:pStyle w:val="Heading3"/>
      </w:pPr>
      <w:r>
        <w:t xml:space="preserve">3.1.3 Data Flow Diagram Level 1</w:t>
      </w:r>
    </w:p>
    <w:p>
      <w:pPr>
        <w:pStyle w:val="FirstParagraph"/>
      </w:pPr>
      <w:r>
        <w:t xml:space="preserve">The level-1 DFD (Figure 3.2) decomposes the system into eight processes and four data stores. The upper row runs once to build the cases, train the models and calibrate them; the lower row runs for every click and reads all four stores. Section 3.2 gives the functional decomposition, the entity-relationship model and the data dictionary.</w:t>
      </w:r>
    </w:p>
    <w:p>
      <w:pPr>
        <w:pStyle w:val="BodyText"/>
        <w:jc w:val="center"/>
      </w:pPr>
      <w:r>
        <w:drawing>
          <wp:inline>
            <wp:extent cx="5334000" cy="2149986"/>
            <wp:effectExtent b="0" l="0" r="0" t="0"/>
            <wp:docPr descr="image" title="" id="65" name="Picture"/>
            <a:graphic>
              <a:graphicData uri="http://schemas.openxmlformats.org/drawingml/2006/picture">
                <pic:pic>
                  <pic:nvPicPr>
                    <pic:cNvPr descr="/home/user/medlift3d/report/docx_build/figs/fig_dfd1.png" id="66" name="Picture"/>
                    <pic:cNvPicPr>
                      <a:picLocks noChangeArrowheads="1" noChangeAspect="1"/>
                    </pic:cNvPicPr>
                  </pic:nvPicPr>
                  <pic:blipFill>
                    <a:blip r:embed="rId64"/>
                    <a:stretch>
                      <a:fillRect/>
                    </a:stretch>
                  </pic:blipFill>
                  <pic:spPr bwMode="auto">
                    <a:xfrm>
                      <a:off x="0" y="0"/>
                      <a:ext cx="5334000" cy="2149986"/>
                    </a:xfrm>
                    <a:prstGeom prst="rect">
                      <a:avLst/>
                    </a:prstGeom>
                    <a:noFill/>
                    <a:ln w="9525">
                      <a:noFill/>
                      <a:headEnd/>
                      <a:tailEnd/>
                    </a:ln>
                  </pic:spPr>
                </pic:pic>
              </a:graphicData>
            </a:graphic>
          </wp:inline>
        </w:drawing>
      </w:r>
    </w:p>
    <w:p>
      <w:pPr>
        <w:pStyle w:val="BodyText"/>
        <w:jc w:val="center"/>
      </w:pPr>
      <w:r>
        <w:rPr>
          <w:bCs/>
          <w:b/>
          <w:iCs/>
          <w:i/>
          <w:sz w:val="20"/>
        </w:rPr>
        <w:t xml:space="preserve">Figure 3.2:</w:t>
      </w:r>
      <w:r>
        <w:rPr>
          <w:iCs/>
          <w:i/>
          <w:sz w:val="20"/>
        </w:rPr>
        <w:t xml:space="preserve"> </w:t>
      </w:r>
      <w:r>
        <w:rPr>
          <w:iCs/>
          <w:i/>
          <w:sz w:val="20"/>
        </w:rPr>
        <w:t xml:space="preserve">Data flow diagram level 1 (offline processes 1.0–4.0, per-click processes 5.0–8.0, data stores D1–D4).</w:t>
      </w:r>
    </w:p>
    <w:bookmarkEnd w:id="67"/>
    <w:bookmarkStart w:id="71" w:name="ui-design"/>
    <w:p>
      <w:pPr>
        <w:pStyle w:val="Heading3"/>
      </w:pPr>
      <w:r>
        <w:t xml:space="preserve">3.1.4 UI Design</w:t>
      </w:r>
    </w:p>
    <w:p>
      <w:pPr>
        <w:pStyle w:val="FirstParagraph"/>
      </w:pPr>
      <w:r>
        <w:t xml:space="preserve">The interface is a browser application built around one action: click on the nodule (Figure 3.3). The numbered parts are: (1) case and method selection; (2) the coronal DTS slice with detector suggestions, annotated nodules (for evaluation) and the click; (3) the depth slider, which supplies the third coordinate; (4) the measurement report with mass and volume intervals, the EUPS category probabilities and the low-confidence flag; (5) a 3D view of the nodule and the prism input with its eight samples; and (6) a virtual follow-up that reports VDT and MDT.</w:t>
      </w:r>
    </w:p>
    <w:p>
      <w:pPr>
        <w:pStyle w:val="BodyText"/>
        <w:jc w:val="center"/>
      </w:pPr>
      <w:r>
        <w:drawing>
          <wp:inline>
            <wp:extent cx="5334000" cy="3413646"/>
            <wp:effectExtent b="0" l="0" r="0" t="0"/>
            <wp:docPr descr="image" title="" id="69" name="Picture"/>
            <a:graphic>
              <a:graphicData uri="http://schemas.openxmlformats.org/drawingml/2006/picture">
                <pic:pic>
                  <pic:nvPicPr>
                    <pic:cNvPr descr="/home/user/medlift3d/report/docx_build/figs/fig_ui.png" id="70" name="Picture"/>
                    <pic:cNvPicPr>
                      <a:picLocks noChangeArrowheads="1" noChangeAspect="1"/>
                    </pic:cNvPicPr>
                  </pic:nvPicPr>
                  <pic:blipFill>
                    <a:blip r:embed="rId68"/>
                    <a:stretch>
                      <a:fillRect/>
                    </a:stretch>
                  </pic:blipFill>
                  <pic:spPr bwMode="auto">
                    <a:xfrm>
                      <a:off x="0" y="0"/>
                      <a:ext cx="5334000" cy="3413646"/>
                    </a:xfrm>
                    <a:prstGeom prst="rect">
                      <a:avLst/>
                    </a:prstGeom>
                    <a:noFill/>
                    <a:ln w="9525">
                      <a:noFill/>
                      <a:headEnd/>
                      <a:tailEnd/>
                    </a:ln>
                  </pic:spPr>
                </pic:pic>
              </a:graphicData>
            </a:graphic>
          </wp:inline>
        </w:drawing>
      </w:r>
    </w:p>
    <w:p>
      <w:pPr>
        <w:pStyle w:val="BodyText"/>
        <w:jc w:val="center"/>
      </w:pPr>
      <w:r>
        <w:rPr>
          <w:bCs/>
          <w:b/>
          <w:iCs/>
          <w:i/>
          <w:sz w:val="20"/>
        </w:rPr>
        <w:t xml:space="preserve">Figure 3.3:</w:t>
      </w:r>
      <w:r>
        <w:rPr>
          <w:iCs/>
          <w:i/>
          <w:sz w:val="20"/>
        </w:rPr>
        <w:t xml:space="preserve"> </w:t>
      </w:r>
      <w:r>
        <w:rPr>
          <w:iCs/>
          <w:i/>
          <w:sz w:val="20"/>
        </w:rPr>
        <w:t xml:space="preserve">User interface design of the click-to-3D application.</w:t>
      </w:r>
    </w:p>
    <w:bookmarkEnd w:id="71"/>
    <w:bookmarkEnd w:id="72"/>
    <w:bookmarkStart w:id="91" w:name="detailed-methodology-and-design"/>
    <w:p>
      <w:pPr>
        <w:pStyle w:val="Heading2"/>
      </w:pPr>
      <w:r>
        <w:t xml:space="preserve">3.2 Detailed Methodology and Design</w:t>
      </w:r>
    </w:p>
    <w:p>
      <w:pPr>
        <w:pStyle w:val="FirstParagraph"/>
      </w:pPr>
      <w:r>
        <w:t xml:space="preserve">This section decomposes the system into its functions and data, derives what DTS can measure, and describes the proposed architecture, the network and the alternatives considered.</w:t>
      </w:r>
    </w:p>
    <w:bookmarkStart w:id="76" w:name="functional-decomposition-diagram"/>
    <w:p>
      <w:pPr>
        <w:pStyle w:val="Heading3"/>
      </w:pPr>
      <w:r>
        <w:t xml:space="preserve">3.2.1 Functional Decomposition Diagram</w:t>
      </w:r>
    </w:p>
    <w:p>
      <w:pPr>
        <w:pStyle w:val="FirstParagraph"/>
      </w:pPr>
      <w:r>
        <w:t xml:space="preserve">The system decomposes into five subsystems (Figure 3.4).</w:t>
      </w:r>
      <w:r>
        <w:t xml:space="preserve"> </w:t>
      </w:r>
      <w:r>
        <w:rPr>
          <w:iCs/>
          <w:i/>
        </w:rPr>
        <w:t xml:space="preserve">Data and simulation</w:t>
      </w:r>
      <w:r>
        <w:t xml:space="preserve"> </w:t>
      </w:r>
      <w:r>
        <w:t xml:space="preserve">selects the patients, downloads their CT, builds the cases and simulates DTS.</w:t>
      </w:r>
      <w:r>
        <w:t xml:space="preserve"> </w:t>
      </w:r>
      <w:r>
        <w:rPr>
          <w:iCs/>
          <w:i/>
        </w:rPr>
        <w:t xml:space="preserve">Reconstruction</w:t>
      </w:r>
      <w:r>
        <w:t xml:space="preserve"> </w:t>
      </w:r>
      <w:r>
        <w:t xml:space="preserve">produces the whole-chest SIRT with depth support and the prism around a click.</w:t>
      </w:r>
      <w:r>
        <w:t xml:space="preserve"> </w:t>
      </w:r>
      <w:r>
        <w:rPr>
          <w:iCs/>
          <w:i/>
        </w:rPr>
        <w:t xml:space="preserve">Learned models</w:t>
      </w:r>
      <w:r>
        <w:t xml:space="preserve"> </w:t>
      </w:r>
      <w:r>
        <w:t xml:space="preserve">contains the conditional diffusion prior with its data-consistency sampler, the nodule detector and the fit check.</w:t>
      </w:r>
      <w:r>
        <w:t xml:space="preserve"> </w:t>
      </w:r>
      <w:r>
        <w:rPr>
          <w:iCs/>
          <w:i/>
        </w:rPr>
        <w:t xml:space="preserve">Measurement and UQ</w:t>
      </w:r>
      <w:r>
        <w:t xml:space="preserve"> </w:t>
      </w:r>
      <w:r>
        <w:t xml:space="preserve">fits Gaussians, measures mass, volume and diameter, and calibrates intervals and category probabilities.</w:t>
      </w:r>
      <w:r>
        <w:t xml:space="preserve"> </w:t>
      </w:r>
      <w:r>
        <w:rPr>
          <w:iCs/>
          <w:i/>
        </w:rPr>
        <w:t xml:space="preserve">Interface and reporting</w:t>
      </w:r>
      <w:r>
        <w:t xml:space="preserve"> </w:t>
      </w:r>
      <w:r>
        <w:t xml:space="preserve">provides the click-to-3D application, the virtual follow-up, the explanations and the HTML report. Each function maps to one or more of the 18 scripted steps, so every box can be checked by its PASS/FAIL output.</w:t>
      </w:r>
    </w:p>
    <w:p>
      <w:pPr>
        <w:pStyle w:val="BodyText"/>
        <w:jc w:val="center"/>
      </w:pPr>
      <w:r>
        <w:drawing>
          <wp:inline>
            <wp:extent cx="5334000" cy="2111551"/>
            <wp:effectExtent b="0" l="0" r="0" t="0"/>
            <wp:docPr descr="image" title="" id="74" name="Picture"/>
            <a:graphic>
              <a:graphicData uri="http://schemas.openxmlformats.org/drawingml/2006/picture">
                <pic:pic>
                  <pic:nvPicPr>
                    <pic:cNvPr descr="/home/user/medlift3d/report/docx_build/figs/fig_fdd.png" id="75" name="Picture"/>
                    <pic:cNvPicPr>
                      <a:picLocks noChangeArrowheads="1" noChangeAspect="1"/>
                    </pic:cNvPicPr>
                  </pic:nvPicPr>
                  <pic:blipFill>
                    <a:blip r:embed="rId73"/>
                    <a:stretch>
                      <a:fillRect/>
                    </a:stretch>
                  </pic:blipFill>
                  <pic:spPr bwMode="auto">
                    <a:xfrm>
                      <a:off x="0" y="0"/>
                      <a:ext cx="5334000" cy="2111551"/>
                    </a:xfrm>
                    <a:prstGeom prst="rect">
                      <a:avLst/>
                    </a:prstGeom>
                    <a:noFill/>
                    <a:ln w="9525">
                      <a:noFill/>
                      <a:headEnd/>
                      <a:tailEnd/>
                    </a:ln>
                  </pic:spPr>
                </pic:pic>
              </a:graphicData>
            </a:graphic>
          </wp:inline>
        </w:drawing>
      </w:r>
    </w:p>
    <w:p>
      <w:pPr>
        <w:pStyle w:val="BodyText"/>
        <w:jc w:val="center"/>
      </w:pPr>
      <w:r>
        <w:rPr>
          <w:bCs/>
          <w:b/>
          <w:iCs/>
          <w:i/>
          <w:sz w:val="20"/>
        </w:rPr>
        <w:t xml:space="preserve">Figure 3.4:</w:t>
      </w:r>
      <w:r>
        <w:rPr>
          <w:iCs/>
          <w:i/>
          <w:sz w:val="20"/>
        </w:rPr>
        <w:t xml:space="preserve"> </w:t>
      </w:r>
      <w:r>
        <w:rPr>
          <w:iCs/>
          <w:i/>
          <w:sz w:val="20"/>
        </w:rPr>
        <w:t xml:space="preserve">Functional decomposition diagram: five subsystems and their functions.</w:t>
      </w:r>
    </w:p>
    <w:bookmarkEnd w:id="76"/>
    <w:bookmarkStart w:id="80" w:name="Xbc6a0d329f2f5f86d8dcafc03e4514c00a62982"/>
    <w:p>
      <w:pPr>
        <w:pStyle w:val="Heading3"/>
      </w:pPr>
      <w:r>
        <w:t xml:space="preserve">3.2.2 Entity-Relationship Model and Data Dictionary</w:t>
      </w:r>
    </w:p>
    <w:p>
      <w:pPr>
        <w:pStyle w:val="FirstParagraph"/>
      </w:pPr>
      <w:r>
        <w:t xml:space="preserve">Figure 3.5 shows the data entities and their relationships: a patient has CT cases, a case contains nodules marked by three or four readers, and each nodule is measured by several methods, each measurement aggregating eight hypotheses that are fitted by Gaussian sets and calibrated per method. Table 3.5 gives the data dictionary.</w:t>
      </w:r>
    </w:p>
    <w:p>
      <w:pPr>
        <w:pStyle w:val="BodyText"/>
        <w:jc w:val="center"/>
      </w:pPr>
      <w:r>
        <w:drawing>
          <wp:inline>
            <wp:extent cx="5334000" cy="2753859"/>
            <wp:effectExtent b="0" l="0" r="0" t="0"/>
            <wp:docPr descr="image" title="" id="78" name="Picture"/>
            <a:graphic>
              <a:graphicData uri="http://schemas.openxmlformats.org/drawingml/2006/picture">
                <pic:pic>
                  <pic:nvPicPr>
                    <pic:cNvPr descr="/home/user/medlift3d/report/docx_build/figs/fig_er.png" id="79" name="Picture"/>
                    <pic:cNvPicPr>
                      <a:picLocks noChangeArrowheads="1" noChangeAspect="1"/>
                    </pic:cNvPicPr>
                  </pic:nvPicPr>
                  <pic:blipFill>
                    <a:blip r:embed="rId77"/>
                    <a:stretch>
                      <a:fillRect/>
                    </a:stretch>
                  </pic:blipFill>
                  <pic:spPr bwMode="auto">
                    <a:xfrm>
                      <a:off x="0" y="0"/>
                      <a:ext cx="5334000" cy="2753859"/>
                    </a:xfrm>
                    <a:prstGeom prst="rect">
                      <a:avLst/>
                    </a:prstGeom>
                    <a:noFill/>
                    <a:ln w="9525">
                      <a:noFill/>
                      <a:headEnd/>
                      <a:tailEnd/>
                    </a:ln>
                  </pic:spPr>
                </pic:pic>
              </a:graphicData>
            </a:graphic>
          </wp:inline>
        </w:drawing>
      </w:r>
    </w:p>
    <w:p>
      <w:pPr>
        <w:pStyle w:val="BodyText"/>
        <w:jc w:val="center"/>
      </w:pPr>
      <w:r>
        <w:rPr>
          <w:bCs/>
          <w:b/>
          <w:iCs/>
          <w:i/>
          <w:sz w:val="20"/>
        </w:rPr>
        <w:t xml:space="preserve">Figure 3.5:</w:t>
      </w:r>
      <w:r>
        <w:rPr>
          <w:iCs/>
          <w:i/>
          <w:sz w:val="20"/>
        </w:rPr>
        <w:t xml:space="preserve"> </w:t>
      </w:r>
      <w:r>
        <w:rPr>
          <w:iCs/>
          <w:i/>
          <w:sz w:val="20"/>
        </w:rPr>
        <w:t xml:space="preserve">Entity-relationship model of MedLift-3D (keys underlined, cardinalities in blue).</w:t>
      </w:r>
    </w:p>
    <w:p>
      <w:pPr>
        <w:pStyle w:val="BodyText"/>
        <w:jc w:val="center"/>
      </w:pPr>
      <w:r>
        <w:rPr>
          <w:bCs/>
          <w:b/>
          <w:iCs/>
          <w:i/>
          <w:sz w:val="20"/>
        </w:rPr>
        <w:t xml:space="preserve">Table 3.5:</w:t>
      </w:r>
      <w:r>
        <w:rPr>
          <w:iCs/>
          <w:i/>
          <w:sz w:val="20"/>
        </w:rPr>
        <w:t xml:space="preserve"> </w:t>
      </w:r>
      <w:r>
        <w:rPr>
          <w:iCs/>
          <w:i/>
          <w:sz w:val="20"/>
        </w:rPr>
        <w:t xml:space="preserve">Data dictionary.</w:t>
      </w:r>
    </w:p>
    <w:tbl>
      <w:tblPr>
        <w:tblStyle w:val="Table"/>
        <w:tblW w:type="auto" w:w="0"/>
        <w:tblLook w:firstRow="1" w:lastRow="0" w:firstColumn="0" w:lastColumn="0" w:noHBand="0" w:noVBand="0" w:val="0020"/>
        <w:jc w:val="start"/>
        <w:tblBorders>
          <w:top w:val="single" w:sz="12" w:color="000000"/>
          <w:bottom w:val="single" w:sz="12" w:color="000000"/>
          <w:insideH w:val="single" w:sz="6" w:color="808080"/>
        </w:tblBorders>
      </w:tblPr>
      <w:tblGrid>
        <w:gridCol w:w="1136"/>
        <w:gridCol w:w="2083"/>
        <w:gridCol w:w="3788"/>
        <w:gridCol w:w="2020"/>
      </w:tblGrid>
      <w:tr>
        <w:trPr>
          <w:tblHeader w:val="true"/>
        </w:trPr>
        <w:tc>
          <w:tcPr>
            <w:tcW w:type="dxa" w:w="1137"/>
          </w:tcPr>
          <w:p>
            <w:pPr>
              <w:pStyle w:val="Compact"/>
              <w:spacing w:line="240" w:lineRule="auto" w:after="40"/>
              <w:jc w:val="left"/>
            </w:pPr>
            <w:r>
              <w:rPr>
                <w:b/>
                <w:sz w:val="19"/>
              </w:rPr>
              <w:t xml:space="preserve">Store / item</w:t>
            </w:r>
          </w:p>
        </w:tc>
        <w:tc>
          <w:tcPr>
            <w:tcW w:type="dxa" w:w="2084"/>
          </w:tcPr>
          <w:p>
            <w:pPr>
              <w:pStyle w:val="Compact"/>
              <w:spacing w:line="240" w:lineRule="auto" w:after="40"/>
              <w:jc w:val="left"/>
            </w:pPr>
            <w:r>
              <w:rPr>
                <w:b/>
                <w:sz w:val="19"/>
              </w:rPr>
              <w:t xml:space="preserve">Format</w:t>
            </w:r>
          </w:p>
        </w:tc>
        <w:tc>
          <w:tcPr>
            <w:tcW w:type="dxa" w:w="3788"/>
          </w:tcPr>
          <w:p>
            <w:pPr>
              <w:pStyle w:val="Compact"/>
              <w:spacing w:line="240" w:lineRule="auto" w:after="40"/>
              <w:jc w:val="left"/>
            </w:pPr>
            <w:r>
              <w:rPr>
                <w:b/>
                <w:sz w:val="19"/>
              </w:rPr>
              <w:t xml:space="preserve">Contents</w:t>
            </w:r>
          </w:p>
        </w:tc>
        <w:tc>
          <w:tcPr>
            <w:tcW w:type="dxa" w:w="2020"/>
          </w:tcPr>
          <w:p>
            <w:pPr>
              <w:pStyle w:val="Compact"/>
              <w:spacing w:line="240" w:lineRule="auto" w:after="40"/>
              <w:jc w:val="left"/>
            </w:pPr>
            <w:r>
              <w:rPr>
                <w:b/>
                <w:sz w:val="19"/>
              </w:rPr>
              <w:t xml:space="preserve">Constraint</w:t>
            </w:r>
          </w:p>
        </w:tc>
      </w:tr>
      <w:tr>
        <w:tc>
          <w:tcPr>
            <w:tcW w:type="dxa" w:w="1137"/>
          </w:tcPr>
          <w:p>
            <w:pPr>
              <w:pStyle w:val="Compact"/>
              <w:spacing w:line="240" w:lineRule="auto" w:after="40"/>
              <w:jc w:val="left"/>
            </w:pPr>
            <w:r>
              <w:rPr>
                <w:sz w:val="19"/>
              </w:rPr>
              <w:t xml:space="preserve">D1 Case</w:t>
            </w:r>
          </w:p>
        </w:tc>
        <w:tc>
          <w:tcPr>
            <w:tcW w:type="dxa" w:w="2084"/>
          </w:tcPr>
          <w:p>
            <w:pPr>
              <w:pStyle w:val="Compact"/>
              <w:spacing w:line="240" w:lineRule="auto" w:after="40"/>
              <w:jc w:val="left"/>
            </w:pPr>
            <w:r>
              <w:rPr>
                <w:sz w:val="19"/>
              </w:rPr>
              <w:t xml:space="preserve">int16 + packed bits + JSON header</w:t>
            </w:r>
          </w:p>
        </w:tc>
        <w:tc>
          <w:tcPr>
            <w:tcW w:type="dxa" w:w="3788"/>
          </w:tcPr>
          <w:p>
            <w:pPr>
              <w:pStyle w:val="Compact"/>
              <w:spacing w:line="240" w:lineRule="auto" w:after="40"/>
              <w:jc w:val="left"/>
            </w:pPr>
            <w:r>
              <w:rPr>
                <w:sz w:val="19"/>
              </w:rPr>
              <w:t xml:space="preserve">CT in HU, consensus and four reader masks per nodule, voxel geometry, patient ID</w:t>
            </w:r>
          </w:p>
        </w:tc>
        <w:tc>
          <w:tcPr>
            <w:tcW w:type="dxa" w:w="2020"/>
          </w:tcPr>
          <w:p>
            <w:pPr>
              <w:pStyle w:val="Compact"/>
              <w:spacing w:line="240" w:lineRule="auto" w:after="40"/>
              <w:jc w:val="left"/>
            </w:pPr>
            <w:r>
              <w:rPr>
                <w:sz w:val="19"/>
              </w:rPr>
              <w:t xml:space="preserve">HU in</w:t>
            </w:r>
            <w:r>
              <w:rPr>
                <w:sz w:val="19"/>
              </w:rPr>
              <w:t xml:space="preserve"> </w:t>
            </w:r>
            <m:oMath>
              <m:d>
                <m:dPr>
                  <m:begChr m:val="["/>
                  <m:endChr m:val="]"/>
                  <m:sepChr m:val=""/>
                  <m:grow/>
                </m:dPr>
                <m:e>
                  <m:r>
                    <m:rPr>
                      <m:sty m:val="p"/>
                    </m:rPr>
                    <m:t>−</m:t>
                  </m:r>
                  <m:r>
                    <m:t>1024</m:t>
                  </m:r>
                  <m:r>
                    <m:rPr>
                      <m:sty m:val="p"/>
                    </m:rPr>
                    <m:t>,</m:t>
                  </m:r>
                  <m:r>
                    <m:t>3071</m:t>
                  </m:r>
                </m:e>
              </m:d>
            </m:oMath>
          </w:p>
        </w:tc>
      </w:tr>
      <w:tr>
        <w:tc>
          <w:tcPr>
            <w:tcW w:type="dxa" w:w="1137"/>
          </w:tcPr>
          <w:p>
            <w:pPr>
              <w:pStyle w:val="Compact"/>
              <w:spacing w:line="240" w:lineRule="auto" w:after="40"/>
              <w:jc w:val="left"/>
            </w:pPr>
            <w:r>
              <w:rPr>
                <w:sz w:val="19"/>
              </w:rPr>
              <w:t xml:space="preserve">Projections</w:t>
            </w:r>
          </w:p>
        </w:tc>
        <w:tc>
          <w:tcPr>
            <w:tcW w:type="dxa" w:w="2084"/>
          </w:tcPr>
          <w:p>
            <w:pPr>
              <w:pStyle w:val="Compact"/>
              <w:spacing w:line="240" w:lineRule="auto" w:after="40"/>
              <w:jc w:val="left"/>
            </w:pPr>
            <w:r>
              <w:rPr>
                <w:sz w:val="19"/>
              </w:rPr>
              <w:t xml:space="preserve">float,</w:t>
            </w:r>
            <w:r>
              <w:rPr>
                <w:sz w:val="19"/>
              </w:rPr>
              <w:t xml:space="preserve"> </w:t>
            </w:r>
            <m:oMath>
              <m:r>
                <m:t>15</m:t>
              </m:r>
              <m:r>
                <m:rPr>
                  <m:sty m:val="p"/>
                </m:rPr>
                <m:t>×</m:t>
              </m:r>
              <m:r>
                <m:t>536</m:t>
              </m:r>
              <m:r>
                <m:rPr>
                  <m:sty m:val="p"/>
                </m:rPr>
                <m:t>×</m:t>
              </m:r>
              <m:r>
                <m:t>536</m:t>
              </m:r>
            </m:oMath>
          </w:p>
        </w:tc>
        <w:tc>
          <w:tcPr>
            <w:tcW w:type="dxa" w:w="3788"/>
          </w:tcPr>
          <w:p>
            <w:pPr>
              <w:pStyle w:val="Compact"/>
              <w:spacing w:line="240" w:lineRule="auto" w:after="40"/>
              <w:jc w:val="left"/>
            </w:pPr>
            <w:r>
              <w:rPr>
                <w:sz w:val="19"/>
              </w:rPr>
              <w:t xml:space="preserve">Noisy line integrals per view</w:t>
            </w:r>
          </w:p>
        </w:tc>
        <w:tc>
          <w:tcPr>
            <w:tcW w:type="dxa" w:w="2020"/>
          </w:tcPr>
          <w:p>
            <w:pPr>
              <w:pStyle w:val="Compact"/>
              <w:spacing w:line="240" w:lineRule="auto" w:after="40"/>
              <w:jc w:val="left"/>
            </w:pPr>
            <w:r>
              <w:rPr>
                <w:sz w:val="19"/>
              </w:rPr>
              <w:t xml:space="preserve">Finite, max</w:t>
            </w:r>
            <w:r>
              <w:rPr>
                <w:sz w:val="19"/>
              </w:rPr>
              <w:t xml:space="preserve"> </w:t>
            </w:r>
            <m:oMath>
              <m:r>
                <m:rPr>
                  <m:sty m:val="p"/>
                </m:rPr>
                <m:t>&lt;</m:t>
              </m:r>
              <m:r>
                <m:t>15</m:t>
              </m:r>
            </m:oMath>
          </w:p>
        </w:tc>
      </w:tr>
      <w:tr>
        <w:tc>
          <w:tcPr>
            <w:tcW w:type="dxa" w:w="1137"/>
          </w:tcPr>
          <w:p>
            <w:pPr>
              <w:pStyle w:val="Compact"/>
              <w:spacing w:line="240" w:lineRule="auto" w:after="40"/>
              <w:jc w:val="left"/>
            </w:pPr>
            <w:r>
              <w:rPr>
                <w:sz w:val="19"/>
              </w:rPr>
              <w:t xml:space="preserve">D2 SIRT volume</w:t>
            </w:r>
          </w:p>
        </w:tc>
        <w:tc>
          <w:tcPr>
            <w:tcW w:type="dxa" w:w="2084"/>
          </w:tcPr>
          <w:p>
            <w:pPr>
              <w:pStyle w:val="Compact"/>
              <w:spacing w:line="240" w:lineRule="auto" w:after="40"/>
              <w:jc w:val="left"/>
            </w:pPr>
            <w:r>
              <w:rPr>
                <w:sz w:val="19"/>
              </w:rPr>
              <w:t xml:space="preserve">float, 2.5 mm voxels</w:t>
            </w:r>
          </w:p>
        </w:tc>
        <w:tc>
          <w:tcPr>
            <w:tcW w:type="dxa" w:w="3788"/>
          </w:tcPr>
          <w:p>
            <w:pPr>
              <w:pStyle w:val="Compact"/>
              <w:spacing w:line="240" w:lineRule="auto" w:after="40"/>
              <w:jc w:val="left"/>
            </w:pPr>
            <w:r>
              <w:rPr>
                <w:sz w:val="19"/>
              </w:rPr>
              <w:t xml:space="preserve">Whole-chest DTS reconstruction</w:t>
            </w:r>
          </w:p>
        </w:tc>
        <w:tc>
          <w:tcPr>
            <w:tcW w:type="dxa" w:w="2020"/>
          </w:tcPr>
          <w:p>
            <w:pPr>
              <w:pStyle w:val="Compact"/>
              <w:spacing w:line="240" w:lineRule="auto" w:after="40"/>
              <w:jc w:val="left"/>
            </w:pPr>
            <w:r>
              <w:rPr>
                <w:sz w:val="19"/>
              </w:rPr>
              <w:t xml:space="preserve">Patient depth + 5 mm</w:t>
            </w:r>
          </w:p>
        </w:tc>
      </w:tr>
      <w:tr>
        <w:tc>
          <w:tcPr>
            <w:tcW w:type="dxa" w:w="1137"/>
          </w:tcPr>
          <w:p>
            <w:pPr>
              <w:pStyle w:val="Compact"/>
              <w:spacing w:line="240" w:lineRule="auto" w:after="40"/>
              <w:jc w:val="left"/>
            </w:pPr>
            <w:r>
              <w:rPr>
                <w:sz w:val="19"/>
              </w:rPr>
              <w:t xml:space="preserve">Prism</w:t>
            </w:r>
          </w:p>
        </w:tc>
        <w:tc>
          <w:tcPr>
            <w:tcW w:type="dxa" w:w="2084"/>
          </w:tcPr>
          <w:p>
            <w:pPr>
              <w:pStyle w:val="Compact"/>
              <w:spacing w:line="240" w:lineRule="auto" w:after="40"/>
              <w:jc w:val="left"/>
            </w:pPr>
            <w:r>
              <w:rPr>
                <w:sz w:val="19"/>
              </w:rPr>
              <w:t xml:space="preserve">float,</w:t>
            </w:r>
            <w:r>
              <w:rPr>
                <w:sz w:val="19"/>
              </w:rPr>
              <w:t xml:space="preserve"> </w:t>
            </w:r>
            <m:oMath>
              <m:r>
                <m:t>64</m:t>
              </m:r>
              <m:r>
                <m:rPr>
                  <m:sty m:val="p"/>
                </m:rPr>
                <m:t>×</m:t>
              </m:r>
              <m:r>
                <m:t>128</m:t>
              </m:r>
              <m:r>
                <m:rPr>
                  <m:sty m:val="p"/>
                </m:rPr>
                <m:t>×</m:t>
              </m:r>
              <m:r>
                <m:t>64</m:t>
              </m:r>
            </m:oMath>
            <w:r>
              <w:rPr>
                <w:sz w:val="19"/>
              </w:rPr>
              <w:t xml:space="preserve">,</w:t>
            </w:r>
            <w:r>
              <w:rPr>
                <w:sz w:val="19"/>
              </w:rPr>
              <w:t xml:space="preserve"> </w:t>
            </w:r>
            <m:oMath>
              <m:r>
                <m:t>1</m:t>
              </m:r>
              <m:r>
                <m:rPr>
                  <m:sty m:val="p"/>
                </m:rPr>
                <m:t>×</m:t>
              </m:r>
              <m:r>
                <m:t>2</m:t>
              </m:r>
              <m:r>
                <m:rPr>
                  <m:sty m:val="p"/>
                </m:rPr>
                <m:t>×</m:t>
              </m:r>
              <m:r>
                <m:t>1</m:t>
              </m:r>
            </m:oMath>
            <w:r>
              <w:rPr>
                <w:sz w:val="19"/>
              </w:rPr>
              <w:t xml:space="preserve"> mm</w:t>
            </w:r>
          </w:p>
        </w:tc>
        <w:tc>
          <w:tcPr>
            <w:tcW w:type="dxa" w:w="3788"/>
          </w:tcPr>
          <w:p>
            <w:pPr>
              <w:pStyle w:val="Compact"/>
              <w:spacing w:line="240" w:lineRule="auto" w:after="40"/>
              <w:jc w:val="left"/>
            </w:pPr>
            <w:r>
              <w:rPr>
                <w:sz w:val="19"/>
              </w:rPr>
              <w:t xml:space="preserve">Column through the chest at the click</w:t>
            </w:r>
          </w:p>
        </w:tc>
        <w:tc>
          <w:tcPr>
            <w:tcW w:type="dxa" w:w="2020"/>
          </w:tcPr>
          <w:p>
            <w:pPr>
              <w:pStyle w:val="Compact"/>
              <w:spacing w:line="240" w:lineRule="auto" w:after="40"/>
              <w:jc w:val="left"/>
            </w:pPr>
            <w:r>
              <w:rPr>
                <w:sz w:val="19"/>
              </w:rPr>
              <w:t xml:space="preserve">Rays</w:t>
            </w:r>
            <w:r>
              <w:rPr>
                <w:sz w:val="19"/>
              </w:rPr>
              <w:t xml:space="preserve"> </w:t>
            </w:r>
            <m:oMath>
              <m:r>
                <m:rPr>
                  <m:sty m:val="p"/>
                </m:rPr>
                <m:t>≥</m:t>
              </m:r>
            </m:oMath>
            <w:r>
              <w:rPr>
                <w:sz w:val="19"/>
              </w:rPr>
              <w:t xml:space="preserve">50% inside</w:t>
            </w:r>
          </w:p>
        </w:tc>
      </w:tr>
      <w:tr>
        <w:tc>
          <w:tcPr>
            <w:tcW w:type="dxa" w:w="1137"/>
          </w:tcPr>
          <w:p>
            <w:pPr>
              <w:pStyle w:val="Compact"/>
              <w:spacing w:line="240" w:lineRule="auto" w:after="40"/>
              <w:jc w:val="left"/>
            </w:pPr>
            <w:r>
              <w:rPr>
                <w:sz w:val="19"/>
              </w:rPr>
              <w:t xml:space="preserve">Training pair</w:t>
            </w:r>
          </w:p>
        </w:tc>
        <w:tc>
          <w:tcPr>
            <w:tcW w:type="dxa" w:w="2084"/>
          </w:tcPr>
          <w:p>
            <w:pPr>
              <w:pStyle w:val="Compact"/>
              <w:spacing w:line="240" w:lineRule="auto" w:after="40"/>
              <w:jc w:val="left"/>
            </w:pPr>
            <w:r>
              <w:rPr>
                <w:sz w:val="19"/>
              </w:rPr>
              <w:t xml:space="preserve">float16</w:t>
            </w:r>
          </w:p>
        </w:tc>
        <w:tc>
          <w:tcPr>
            <w:tcW w:type="dxa" w:w="3788"/>
          </w:tcPr>
          <w:p>
            <w:pPr>
              <w:pStyle w:val="Compact"/>
              <w:spacing w:line="240" w:lineRule="auto" w:after="40"/>
              <w:jc w:val="left"/>
            </w:pPr>
            <w:r>
              <w:rPr>
                <w:sz w:val="19"/>
              </w:rPr>
              <w:t xml:space="preserve">Condition (DTS prism) and target (CT prism) in HU</w:t>
            </w:r>
          </w:p>
        </w:tc>
        <w:tc>
          <w:tcPr>
            <w:tcW w:type="dxa" w:w="2020"/>
          </w:tcPr>
          <w:p>
            <w:pPr>
              <w:pStyle w:val="Compact"/>
              <w:spacing w:line="240" w:lineRule="auto" w:after="40"/>
              <w:jc w:val="left"/>
            </w:pPr>
            <w:r>
              <w:rPr>
                <w:sz w:val="19"/>
              </w:rPr>
              <w:t xml:space="preserve">Train patients only</w:t>
            </w:r>
          </w:p>
        </w:tc>
      </w:tr>
      <w:tr>
        <w:tc>
          <w:tcPr>
            <w:tcW w:type="dxa" w:w="1137"/>
          </w:tcPr>
          <w:p>
            <w:pPr>
              <w:pStyle w:val="Compact"/>
              <w:spacing w:line="240" w:lineRule="auto" w:after="40"/>
              <w:jc w:val="left"/>
            </w:pPr>
            <w:r>
              <w:rPr>
                <w:sz w:val="19"/>
              </w:rPr>
              <w:t xml:space="preserve">D3 Diffusion model</w:t>
            </w:r>
          </w:p>
        </w:tc>
        <w:tc>
          <w:tcPr>
            <w:tcW w:type="dxa" w:w="2084"/>
          </w:tcPr>
          <w:p>
            <w:pPr>
              <w:pStyle w:val="Compact"/>
              <w:spacing w:line="240" w:lineRule="auto" w:after="40"/>
              <w:jc w:val="left"/>
            </w:pPr>
            <w:r>
              <w:rPr>
                <w:sz w:val="19"/>
              </w:rPr>
              <w:t xml:space="preserve">PyTorch checkpoint</w:t>
            </w:r>
          </w:p>
        </w:tc>
        <w:tc>
          <w:tcPr>
            <w:tcW w:type="dxa" w:w="3788"/>
          </w:tcPr>
          <w:p>
            <w:pPr>
              <w:pStyle w:val="Compact"/>
              <w:spacing w:line="240" w:lineRule="auto" w:after="40"/>
              <w:jc w:val="left"/>
            </w:pPr>
            <w:r>
              <w:rPr>
                <w:sz w:val="19"/>
              </w:rPr>
              <w:t xml:space="preserve">17.42 M parameters, EMA weights</w:t>
            </w:r>
          </w:p>
        </w:tc>
        <w:tc>
          <w:tcPr>
            <w:tcW w:type="dxa" w:w="2020"/>
          </w:tcPr>
          <w:p>
            <w:pPr>
              <w:pStyle w:val="Compact"/>
              <w:spacing w:line="240" w:lineRule="auto" w:after="40"/>
              <w:jc w:val="left"/>
            </w:pPr>
            <w:r>
              <w:rPr>
                <w:sz w:val="19"/>
              </w:rPr>
              <w:t xml:space="preserve">Selected on held-out train pairs</w:t>
            </w:r>
          </w:p>
        </w:tc>
      </w:tr>
      <w:tr>
        <w:tc>
          <w:tcPr>
            <w:tcW w:type="dxa" w:w="1137"/>
          </w:tcPr>
          <w:p>
            <w:pPr>
              <w:pStyle w:val="Compact"/>
              <w:spacing w:line="240" w:lineRule="auto" w:after="40"/>
              <w:jc w:val="left"/>
            </w:pPr>
            <w:r>
              <w:rPr>
                <w:sz w:val="19"/>
              </w:rPr>
              <w:t xml:space="preserve">D3 Detector</w:t>
            </w:r>
          </w:p>
        </w:tc>
        <w:tc>
          <w:tcPr>
            <w:tcW w:type="dxa" w:w="2084"/>
          </w:tcPr>
          <w:p>
            <w:pPr>
              <w:pStyle w:val="Compact"/>
              <w:spacing w:line="240" w:lineRule="auto" w:after="40"/>
              <w:jc w:val="left"/>
            </w:pPr>
            <w:r>
              <w:rPr>
                <w:sz w:val="19"/>
              </w:rPr>
              <w:t xml:space="preserve">PyTorch checkpoint</w:t>
            </w:r>
          </w:p>
        </w:tc>
        <w:tc>
          <w:tcPr>
            <w:tcW w:type="dxa" w:w="3788"/>
          </w:tcPr>
          <w:p>
            <w:pPr>
              <w:pStyle w:val="Compact"/>
              <w:spacing w:line="240" w:lineRule="auto" w:after="40"/>
              <w:jc w:val="left"/>
            </w:pPr>
            <w:r>
              <w:rPr>
                <w:sz w:val="19"/>
              </w:rPr>
              <w:t xml:space="preserve">0.34 M parameters, heatmap 3D U-Net</w:t>
            </w:r>
          </w:p>
        </w:tc>
        <w:tc>
          <w:tcPr>
            <w:tcW w:type="dxa" w:w="2020"/>
          </w:tcPr>
          <w:p>
            <w:pPr>
              <w:pStyle w:val="Compact"/>
              <w:spacing w:line="240" w:lineRule="auto" w:after="40"/>
              <w:jc w:val="left"/>
            </w:pPr>
            <w:r>
              <w:rPr>
                <w:sz w:val="19"/>
              </w:rPr>
              <w:t xml:space="preserve">Selected on cal. patients</w:t>
            </w:r>
          </w:p>
        </w:tc>
      </w:tr>
      <w:tr>
        <w:tc>
          <w:tcPr>
            <w:tcW w:type="dxa" w:w="1137"/>
          </w:tcPr>
          <w:p>
            <w:pPr>
              <w:pStyle w:val="Compact"/>
              <w:spacing w:line="240" w:lineRule="auto" w:after="40"/>
              <w:jc w:val="left"/>
            </w:pPr>
            <w:r>
              <w:rPr>
                <w:sz w:val="19"/>
              </w:rPr>
              <w:t xml:space="preserve">Gaussians</w:t>
            </w:r>
          </w:p>
        </w:tc>
        <w:tc>
          <w:tcPr>
            <w:tcW w:type="dxa" w:w="2084"/>
          </w:tcPr>
          <w:p>
            <w:pPr>
              <w:pStyle w:val="Compact"/>
              <w:spacing w:line="240" w:lineRule="auto" w:after="40"/>
              <w:jc w:val="left"/>
            </w:pPr>
            <w:r>
              <w:rPr>
                <w:sz w:val="19"/>
              </w:rPr>
              <w:t xml:space="preserve">float32</w:t>
            </w:r>
          </w:p>
        </w:tc>
        <w:tc>
          <w:tcPr>
            <w:tcW w:type="dxa" w:w="3788"/>
          </w:tcPr>
          <w:p>
            <w:pPr>
              <w:pStyle w:val="Compact"/>
              <w:spacing w:line="240" w:lineRule="auto" w:after="40"/>
              <w:jc w:val="left"/>
            </w:pPr>
            <w:r>
              <w:rPr>
                <w:sz w:val="19"/>
              </w:rPr>
              <w:t xml:space="preserve">Centres (</w:t>
            </w:r>
            <m:oMath>
              <m:r>
                <m:t>N</m:t>
              </m:r>
              <m:r>
                <m:rPr>
                  <m:sty m:val="p"/>
                </m:rPr>
                <m:t>×</m:t>
              </m:r>
              <m:r>
                <m:t>3</m:t>
              </m:r>
            </m:oMath>
            <w:r>
              <w:rPr>
                <w:sz w:val="19"/>
              </w:rPr>
              <w:t xml:space="preserve">), scales (</w:t>
            </w:r>
            <m:oMath>
              <m:r>
                <m:t>N</m:t>
              </m:r>
              <m:r>
                <m:rPr>
                  <m:sty m:val="p"/>
                </m:rPr>
                <m:t>×</m:t>
              </m:r>
              <m:r>
                <m:t>3</m:t>
              </m:r>
            </m:oMath>
            <w:r>
              <w:rPr>
                <w:sz w:val="19"/>
              </w:rPr>
              <w:t xml:space="preserve">), quaternions (</w:t>
            </w:r>
            <m:oMath>
              <m:r>
                <m:t>N</m:t>
              </m:r>
              <m:r>
                <m:rPr>
                  <m:sty m:val="p"/>
                </m:rPr>
                <m:t>×</m:t>
              </m:r>
              <m:r>
                <m:t>4</m:t>
              </m:r>
            </m:oMath>
            <w:r>
              <w:rPr>
                <w:sz w:val="19"/>
              </w:rPr>
              <w:t xml:space="preserve">), amplitudes (</w:t>
            </w:r>
            <m:oMath>
              <m:r>
                <m:t>N</m:t>
              </m:r>
            </m:oMath>
            <w:r>
              <w:rPr>
                <w:sz w:val="19"/>
              </w:rPr>
              <w:t xml:space="preserve">)</w:t>
            </w:r>
          </w:p>
        </w:tc>
        <w:tc>
          <w:tcPr>
            <w:tcW w:type="dxa" w:w="2020"/>
          </w:tcPr>
          <w:p>
            <w:pPr>
              <w:pStyle w:val="Compact"/>
              <w:spacing w:line="240" w:lineRule="auto" w:after="40"/>
              <w:jc w:val="left"/>
            </w:pPr>
            <m:oMath>
              <m:r>
                <m:t>N</m:t>
              </m:r>
              <m:r>
                <m:rPr>
                  <m:sty m:val="p"/>
                </m:rPr>
                <m:t>≤</m:t>
              </m:r>
              <m:r>
                <m:t>30</m:t>
              </m:r>
              <m:r>
                <m:rPr>
                  <m:sty m:val="p"/>
                </m:rPr>
                <m:t>,</m:t>
              </m:r>
              <m:r>
                <m:t>000</m:t>
              </m:r>
            </m:oMath>
          </w:p>
        </w:tc>
      </w:tr>
      <w:tr>
        <w:tc>
          <w:tcPr>
            <w:tcW w:type="dxa" w:w="1137"/>
          </w:tcPr>
          <w:p>
            <w:pPr>
              <w:pStyle w:val="Compact"/>
              <w:spacing w:line="240" w:lineRule="auto" w:after="40"/>
              <w:jc w:val="left"/>
            </w:pPr>
            <w:r>
              <w:rPr>
                <w:sz w:val="19"/>
              </w:rPr>
              <w:t xml:space="preserve">Result row</w:t>
            </w:r>
          </w:p>
        </w:tc>
        <w:tc>
          <w:tcPr>
            <w:tcW w:type="dxa" w:w="2084"/>
          </w:tcPr>
          <w:p>
            <w:pPr>
              <w:pStyle w:val="Compact"/>
              <w:spacing w:line="240" w:lineRule="auto" w:after="40"/>
              <w:jc w:val="left"/>
            </w:pPr>
            <w:r>
              <w:rPr>
                <w:sz w:val="19"/>
              </w:rPr>
              <w:t xml:space="preserve">JSON lines</w:t>
            </w:r>
          </w:p>
        </w:tc>
        <w:tc>
          <w:tcPr>
            <w:tcW w:type="dxa" w:w="3788"/>
          </w:tcPr>
          <w:p>
            <w:pPr>
              <w:pStyle w:val="Compact"/>
              <w:spacing w:line="240" w:lineRule="auto" w:after="40"/>
              <w:jc w:val="left"/>
            </w:pPr>
            <w:r>
              <w:rPr>
                <w:sz w:val="19"/>
              </w:rPr>
              <w:t xml:space="preserve">Per nodule and method: volume, mass, log-spread, members, ground truth</w:t>
            </w:r>
          </w:p>
        </w:tc>
        <w:tc>
          <w:tcPr>
            <w:tcW w:type="dxa" w:w="2020"/>
          </w:tcPr>
          <w:p>
            <w:pPr>
              <w:pStyle w:val="Compact"/>
              <w:spacing w:line="240" w:lineRule="auto" w:after="40"/>
              <w:jc w:val="left"/>
            </w:pPr>
            <w:r>
              <w:rPr>
                <w:sz w:val="19"/>
              </w:rPr>
              <w:t xml:space="preserve">One row per nodule</w:t>
            </w:r>
          </w:p>
        </w:tc>
      </w:tr>
      <w:tr>
        <w:tc>
          <w:tcPr>
            <w:tcW w:type="dxa" w:w="1137"/>
          </w:tcPr>
          <w:p>
            <w:pPr>
              <w:pStyle w:val="Compact"/>
              <w:spacing w:line="240" w:lineRule="auto" w:after="40"/>
              <w:jc w:val="left"/>
            </w:pPr>
            <w:r>
              <w:rPr>
                <w:sz w:val="19"/>
              </w:rPr>
              <w:t xml:space="preserve">D4 Calibration</w:t>
            </w:r>
          </w:p>
        </w:tc>
        <w:tc>
          <w:tcPr>
            <w:tcW w:type="dxa" w:w="2084"/>
          </w:tcPr>
          <w:p>
            <w:pPr>
              <w:pStyle w:val="Compact"/>
              <w:spacing w:line="240" w:lineRule="auto" w:after="40"/>
              <w:jc w:val="left"/>
            </w:pPr>
            <w:r>
              <w:rPr>
                <w:sz w:val="19"/>
              </w:rPr>
              <w:t xml:space="preserve">JSON</w:t>
            </w:r>
          </w:p>
        </w:tc>
        <w:tc>
          <w:tcPr>
            <w:tcW w:type="dxa" w:w="3788"/>
          </w:tcPr>
          <w:p>
            <w:pPr>
              <w:pStyle w:val="Compact"/>
              <w:spacing w:line="240" w:lineRule="auto" w:after="40"/>
              <w:jc w:val="left"/>
            </w:pPr>
            <w:r>
              <w:rPr>
                <w:sz w:val="19"/>
              </w:rPr>
              <w:t xml:space="preserve">Per method: residuals, spreads,</w:t>
            </w:r>
            <w:r>
              <w:rPr>
                <w:sz w:val="19"/>
              </w:rPr>
              <w:t xml:space="preserve"> </w:t>
            </w:r>
            <m:oMath>
              <m:r>
                <m:t>σ</m:t>
              </m:r>
            </m:oMath>
            <w:r>
              <w:rPr>
                <w:sz w:val="19"/>
              </w:rPr>
              <w:t xml:space="preserve"> </w:t>
            </w:r>
            <w:r>
              <w:rPr>
                <w:sz w:val="19"/>
              </w:rPr>
              <w:t xml:space="preserve">floor</w:t>
            </w:r>
          </w:p>
        </w:tc>
        <w:tc>
          <w:tcPr>
            <w:tcW w:type="dxa" w:w="2020"/>
          </w:tcPr>
          <w:p>
            <w:pPr>
              <w:pStyle w:val="Compact"/>
              <w:spacing w:line="240" w:lineRule="auto" w:after="40"/>
              <w:jc w:val="left"/>
            </w:pPr>
            <w:r>
              <w:rPr>
                <w:sz w:val="19"/>
              </w:rPr>
              <w:t xml:space="preserve">Cal. patients only</w:t>
            </w:r>
          </w:p>
        </w:tc>
      </w:tr>
      <w:tr>
        <w:tc>
          <w:tcPr>
            <w:tcW w:type="dxa" w:w="1137"/>
          </w:tcPr>
          <w:p>
            <w:pPr>
              <w:pStyle w:val="Compact"/>
              <w:spacing w:line="240" w:lineRule="auto" w:after="40"/>
              <w:jc w:val="left"/>
            </w:pPr>
            <w:r>
              <w:rPr>
                <w:sz w:val="19"/>
              </w:rPr>
              <w:t xml:space="preserve">Report</w:t>
            </w:r>
          </w:p>
        </w:tc>
        <w:tc>
          <w:tcPr>
            <w:tcW w:type="dxa" w:w="2084"/>
          </w:tcPr>
          <w:p>
            <w:pPr>
              <w:pStyle w:val="Compact"/>
              <w:spacing w:line="240" w:lineRule="auto" w:after="40"/>
              <w:jc w:val="left"/>
            </w:pPr>
            <w:r>
              <w:rPr>
                <w:sz w:val="19"/>
              </w:rPr>
              <w:t xml:space="preserve">JSON / UI</w:t>
            </w:r>
          </w:p>
        </w:tc>
        <w:tc>
          <w:tcPr>
            <w:tcW w:type="dxa" w:w="3788"/>
          </w:tcPr>
          <w:p>
            <w:pPr>
              <w:pStyle w:val="Compact"/>
              <w:spacing w:line="240" w:lineRule="auto" w:after="40"/>
              <w:jc w:val="left"/>
            </w:pPr>
            <w:r>
              <w:rPr>
                <w:sz w:val="19"/>
              </w:rPr>
              <w:t xml:space="preserve">Mass and volume with intervals, category probabilities, diameter, low-confidence flag, run time</w:t>
            </w:r>
          </w:p>
        </w:tc>
        <w:tc>
          <w:tcPr>
            <w:tcW w:type="dxa" w:w="2020"/>
          </w:tcPr>
          <w:p>
            <w:pPr>
              <w:pStyle w:val="Compact"/>
              <w:spacing w:line="240" w:lineRule="auto" w:after="40"/>
              <w:jc w:val="left"/>
            </w:pPr>
            <w:r>
              <w:rPr>
                <w:sz w:val="19"/>
              </w:rPr>
              <w:t xml:space="preserve">Interval type stated</w:t>
            </w:r>
          </w:p>
        </w:tc>
      </w:tr>
    </w:tbl>
    <w:bookmarkEnd w:id="80"/>
    <w:bookmarkStart w:id="81" w:name="what-dts-can-measure"/>
    <w:p>
      <w:pPr>
        <w:pStyle w:val="Heading3"/>
      </w:pPr>
      <w:r>
        <w:t xml:space="preserve">3.2.3 What DTS Can Measure</w:t>
      </w:r>
    </w:p>
    <w:p>
      <w:pPr>
        <w:pStyle w:val="FirstParagraph"/>
      </w:pPr>
      <w:r>
        <w:t xml:space="preserve">Let</w:t>
      </w:r>
      <w:r>
        <w:t xml:space="preserve"> </w:t>
      </w:r>
      <m:oMath>
        <m:r>
          <m:t>f</m:t>
        </m:r>
        <m:d>
          <m:dPr>
            <m:begChr m:val="("/>
            <m:endChr m:val=")"/>
            <m:sepChr m:val=""/>
            <m:grow/>
          </m:dPr>
          <m:e>
            <m:r>
              <m:t>x</m:t>
            </m:r>
            <m:r>
              <m:rPr>
                <m:sty m:val="p"/>
              </m:rPr>
              <m:t>,</m:t>
            </m:r>
            <m:r>
              <m:t>y</m:t>
            </m:r>
            <m:r>
              <m:rPr>
                <m:sty m:val="p"/>
              </m:rPr>
              <m:t>,</m:t>
            </m:r>
            <m:r>
              <m:t>z</m:t>
            </m:r>
          </m:e>
        </m:d>
      </m:oMath>
      <w:r>
        <w:t xml:space="preserve"> </w:t>
      </w:r>
      <w:r>
        <w:t xml:space="preserve">be the nodule’s excess attenuation, with</w:t>
      </w:r>
      <w:r>
        <w:t xml:space="preserve"> </w:t>
      </w:r>
      <m:oMath>
        <m:r>
          <m:t>y</m:t>
        </m:r>
      </m:oMath>
      <w:r>
        <w:t xml:space="preserve"> </w:t>
      </w:r>
      <w:r>
        <w:t xml:space="preserve">the depth axis, and let the view at tube angle</w:t>
      </w:r>
      <w:r>
        <w:t xml:space="preserve"> </w:t>
      </w:r>
      <m:oMath>
        <m:r>
          <m:t>θ</m:t>
        </m:r>
      </m:oMath>
      <w:r>
        <w:t xml:space="preserve"> </w:t>
      </w:r>
      <w:r>
        <w:t xml:space="preserve">project along a direction tilted by</w:t>
      </w:r>
      <w:r>
        <w:t xml:space="preserve"> </w:t>
      </w:r>
      <m:oMath>
        <m:r>
          <m:t>θ</m:t>
        </m:r>
      </m:oMath>
      <w:r>
        <w:t xml:space="preserve"> </w:t>
      </w:r>
      <w:r>
        <w:t xml:space="preserve">from</w:t>
      </w:r>
      <w:r>
        <w:t xml:space="preserve"> </w:t>
      </w:r>
      <m:oMath>
        <m:r>
          <m:t>y</m:t>
        </m:r>
      </m:oMath>
      <w:r>
        <w:t xml:space="preserve"> </w:t>
      </w:r>
      <w:r>
        <w:t xml:space="preserve">in the</w:t>
      </w:r>
      <w:r>
        <w:t xml:space="preserve"> </w:t>
      </w:r>
      <m:oMath>
        <m:r>
          <m:t>y</m:t>
        </m:r>
      </m:oMath>
      <w:r>
        <w:t xml:space="preserve">–</w:t>
      </w:r>
      <m:oMath>
        <m:r>
          <m:t>z</m:t>
        </m:r>
      </m:oMath>
      <w:r>
        <w:t xml:space="preserve"> </w:t>
      </w:r>
      <w:r>
        <w:t xml:space="preserve">plane, with detector coordinates</w:t>
      </w:r>
      <w:r>
        <w:t xml:space="preserve"> </w:t>
      </w:r>
      <m:oMath>
        <m:d>
          <m:dPr>
            <m:begChr m:val="("/>
            <m:endChr m:val=")"/>
            <m:sepChr m:val=""/>
            <m:grow/>
          </m:dPr>
          <m:e>
            <m:r>
              <m:t>x</m:t>
            </m:r>
            <m:r>
              <m:rPr>
                <m:sty m:val="p"/>
              </m:rPr>
              <m:t>,</m:t>
            </m:r>
            <m:r>
              <m:t>v</m:t>
            </m:r>
          </m:e>
        </m:d>
      </m:oMath>
      <w:r>
        <w:t xml:space="preserve"> </w:t>
      </w:r>
      <w:r>
        <w:t xml:space="preserve">and</w:t>
      </w:r>
      <w:r>
        <w:t xml:space="preserve"> </w:t>
      </w:r>
      <m:oMath>
        <m:r>
          <m:t>v</m:t>
        </m:r>
      </m:oMath>
      <w:r>
        <w:t xml:space="preserve"> </w:t>
      </w:r>
      <w:r>
        <w:t xml:space="preserve">along</w:t>
      </w:r>
      <w:r>
        <w:t xml:space="preserve"> </w:t>
      </w:r>
      <m:oMath>
        <m:sSub>
          <m:e>
            <m:r>
              <m:rPr>
                <m:sty m:val="b"/>
              </m:rPr>
              <m:t>e</m:t>
            </m:r>
          </m:e>
          <m:sub>
            <m:r>
              <m:t>θ</m:t>
            </m:r>
          </m:sub>
        </m:sSub>
        <m:r>
          <m:rPr>
            <m:sty m:val="p"/>
          </m:rPr>
          <m:t>=</m:t>
        </m:r>
        <m:d>
          <m:dPr>
            <m:begChr m:val="("/>
            <m:endChr m:val=")"/>
            <m:sepChr m:val=""/>
            <m:grow/>
          </m:dPr>
          <m:e>
            <m:r>
              <m:t>0</m:t>
            </m:r>
            <m:r>
              <m:rPr>
                <m:sty m:val="p"/>
              </m:rPr>
              <m:t>,</m:t>
            </m:r>
            <m:r>
              <m:rPr>
                <m:sty m:val="p"/>
              </m:rPr>
              <m:t>−</m:t>
            </m:r>
            <m:r>
              <m:rPr>
                <m:sty m:val="p"/>
              </m:rPr>
              <m:t>sin</m:t>
            </m:r>
            <m:r>
              <m:t>θ</m:t>
            </m:r>
            <m:r>
              <m:rPr>
                <m:sty m:val="p"/>
              </m:rPr>
              <m:t>,</m:t>
            </m:r>
            <m:r>
              <m:rPr>
                <m:sty m:val="p"/>
              </m:rPr>
              <m:t>cos</m:t>
            </m:r>
            <m:r>
              <m:t>θ</m:t>
            </m:r>
          </m:e>
        </m:d>
      </m:oMath>
      <w:r>
        <w:t xml:space="preserve">. The moments of the projection</w:t>
      </w:r>
      <w:r>
        <w:t xml:space="preserve"> </w:t>
      </w:r>
      <m:oMath>
        <m:sSub>
          <m:e>
            <m:r>
              <m:t>p</m:t>
            </m:r>
          </m:e>
          <m:sub>
            <m:r>
              <m:t>θ</m:t>
            </m:r>
          </m:sub>
        </m:sSub>
      </m:oMath>
      <w:r>
        <w:t xml:space="preserve"> </w:t>
      </w:r>
      <w:r>
        <w:t xml:space="preserve">are</w:t>
      </w:r>
    </w:p>
    <w:p>
      <w:pPr>
        <w:pStyle w:val="BodyText"/>
      </w:pPr>
      <m:oMathPara>
        <m:oMathParaPr>
          <m:jc m:val="center"/>
        </m:oMathParaPr>
        <m:oMath>
          <m:m>
            <m:mPr>
              <m:baseJc m:val="center"/>
              <m:plcHide m:val="on"/>
              <m:mcs>
                <m:mc>
                  <m:mcPr>
                    <m:mcJc m:val="right"/>
                    <m:count m:val="1"/>
                  </m:mcPr>
                </m:mc>
                <m:mc>
                  <m:mcPr>
                    <m:mcJc m:val="left"/>
                    <m:count m:val="1"/>
                  </m:mcPr>
                </m:mc>
              </m:mcs>
            </m:mPr>
            <m:mr>
              <m:e>
                <m:r>
                  <m:rPr>
                    <m:sty m:val="p"/>
                  </m:rPr>
                  <m:t>∬</m:t>
                </m:r>
                <m:sSub>
                  <m:e>
                    <m:r>
                      <m:t>p</m:t>
                    </m:r>
                  </m:e>
                  <m:sub>
                    <m:r>
                      <m:t>θ</m:t>
                    </m:r>
                  </m:sub>
                </m:sSub>
                <m:d>
                  <m:dPr>
                    <m:begChr m:val="("/>
                    <m:endChr m:val=")"/>
                    <m:sepChr m:val=""/>
                    <m:grow/>
                  </m:dPr>
                  <m:e>
                    <m:r>
                      <m:t>x</m:t>
                    </m:r>
                    <m:r>
                      <m:rPr>
                        <m:sty m:val="p"/>
                      </m:rPr>
                      <m:t>,</m:t>
                    </m:r>
                    <m:r>
                      <m:t>v</m:t>
                    </m:r>
                  </m:e>
                </m:d>
                <m:r>
                  <m:t> </m:t>
                </m:r>
                <m:r>
                  <m:rPr>
                    <m:sty m:val="p"/>
                  </m:rPr>
                  <m:t>d</m:t>
                </m:r>
                <m:r>
                  <m:t>x</m:t>
                </m:r>
                <m:r>
                  <m:t> </m:t>
                </m:r>
                <m:r>
                  <m:rPr>
                    <m:sty m:val="p"/>
                  </m:rPr>
                  <m:t>d</m:t>
                </m:r>
                <m:r>
                  <m:t>v</m:t>
                </m:r>
              </m:e>
              <m:e>
                <m:r>
                  <m:rPr>
                    <m:sty m:val="p"/>
                  </m:rPr>
                  <m:t>=</m:t>
                </m:r>
                <m:r>
                  <m:t>M</m:t>
                </m:r>
                <m:r>
                  <m:rPr>
                    <m:sty m:val="p"/>
                  </m:rPr>
                  <m:t>,</m:t>
                </m:r>
                <m:r>
                  <m:t>  </m:t>
                </m:r>
                <m:d>
                  <m:dPr>
                    <m:begChr m:val="("/>
                    <m:endChr m:val=")"/>
                    <m:sepChr m:val=""/>
                    <m:grow/>
                  </m:dPr>
                  <m:e>
                    <m:r>
                      <m:t>3.1</m:t>
                    </m:r>
                  </m:e>
                </m:d>
              </m:e>
            </m:mr>
            <m:mr>
              <m:e>
                <m:r>
                  <m:rPr>
                    <m:sty m:val="p"/>
                  </m:rPr>
                  <m:t>∬</m:t>
                </m:r>
                <m:r>
                  <m:t>v</m:t>
                </m:r>
                <m:r>
                  <m:t> </m:t>
                </m:r>
                <m:sSub>
                  <m:e>
                    <m:r>
                      <m:t>p</m:t>
                    </m:r>
                  </m:e>
                  <m:sub>
                    <m:r>
                      <m:t>θ</m:t>
                    </m:r>
                  </m:sub>
                </m:sSub>
                <m:d>
                  <m:dPr>
                    <m:begChr m:val="("/>
                    <m:endChr m:val=")"/>
                    <m:sepChr m:val=""/>
                    <m:grow/>
                  </m:dPr>
                  <m:e>
                    <m:r>
                      <m:t>x</m:t>
                    </m:r>
                    <m:r>
                      <m:rPr>
                        <m:sty m:val="p"/>
                      </m:rPr>
                      <m:t>,</m:t>
                    </m:r>
                    <m:r>
                      <m:t>v</m:t>
                    </m:r>
                  </m:e>
                </m:d>
                <m:r>
                  <m:t> </m:t>
                </m:r>
                <m:r>
                  <m:rPr>
                    <m:sty m:val="p"/>
                  </m:rPr>
                  <m:t>d</m:t>
                </m:r>
                <m:r>
                  <m:t>x</m:t>
                </m:r>
                <m:r>
                  <m:t> </m:t>
                </m:r>
                <m:r>
                  <m:rPr>
                    <m:sty m:val="p"/>
                  </m:rPr>
                  <m:t>d</m:t>
                </m:r>
                <m:r>
                  <m:t>v</m:t>
                </m:r>
              </m:e>
              <m:e>
                <m:r>
                  <m:rPr>
                    <m:sty m:val="p"/>
                  </m:rPr>
                  <m:t>=</m:t>
                </m:r>
                <m:r>
                  <m:rPr>
                    <m:sty m:val="p"/>
                  </m:rPr>
                  <m:t>−</m:t>
                </m:r>
                <m:r>
                  <m:rPr>
                    <m:sty m:val="p"/>
                  </m:rPr>
                  <m:t>sin</m:t>
                </m:r>
                <m:r>
                  <m:t>θ</m:t>
                </m:r>
                <m:r>
                  <m:t> </m:t>
                </m:r>
                <m:r>
                  <m:t>M</m:t>
                </m:r>
                <m:sSub>
                  <m:e>
                    <m:r>
                      <m:t>y</m:t>
                    </m:r>
                  </m:e>
                  <m:sub>
                    <m:r>
                      <m:t>c</m:t>
                    </m:r>
                  </m:sub>
                </m:sSub>
                <m:r>
                  <m:rPr>
                    <m:sty m:val="p"/>
                  </m:rPr>
                  <m:t>+</m:t>
                </m:r>
                <m:r>
                  <m:rPr>
                    <m:sty m:val="p"/>
                  </m:rPr>
                  <m:t>cos</m:t>
                </m:r>
                <m:r>
                  <m:t>θ</m:t>
                </m:r>
                <m:r>
                  <m:t> </m:t>
                </m:r>
                <m:r>
                  <m:t>M</m:t>
                </m:r>
                <m:sSub>
                  <m:e>
                    <m:r>
                      <m:t>z</m:t>
                    </m:r>
                  </m:e>
                  <m:sub>
                    <m:r>
                      <m:t>c</m:t>
                    </m:r>
                  </m:sub>
                </m:sSub>
                <m:r>
                  <m:rPr>
                    <m:sty m:val="p"/>
                  </m:rPr>
                  <m:t>,</m:t>
                </m:r>
                <m:r>
                  <m:t>  </m:t>
                </m:r>
                <m:d>
                  <m:dPr>
                    <m:begChr m:val="("/>
                    <m:endChr m:val=")"/>
                    <m:sepChr m:val=""/>
                    <m:grow/>
                  </m:dPr>
                  <m:e>
                    <m:r>
                      <m:t>3.2</m:t>
                    </m:r>
                  </m:e>
                </m:d>
              </m:e>
            </m:mr>
            <m:mr>
              <m:e>
                <m:r>
                  <m:rPr>
                    <m:sty m:val="p"/>
                  </m:rPr>
                  <m:t>∬</m:t>
                </m:r>
                <m:sSup>
                  <m:e>
                    <m:d>
                      <m:dPr>
                        <m:begChr m:val="("/>
                        <m:endChr m:val=")"/>
                        <m:sepChr m:val=""/>
                        <m:grow/>
                      </m:dPr>
                      <m:e>
                        <m:r>
                          <m:t>v</m:t>
                        </m:r>
                        <m:r>
                          <m:rPr>
                            <m:sty m:val="p"/>
                          </m:rPr>
                          <m:t>−</m:t>
                        </m:r>
                        <m:acc>
                          <m:accPr>
                            <m:chr m:val="‾"/>
                          </m:accPr>
                          <m:e>
                            <m:r>
                              <m:t>v</m:t>
                            </m:r>
                          </m:e>
                        </m:acc>
                      </m:e>
                    </m:d>
                  </m:e>
                  <m:sup>
                    <m:r>
                      <m:t>2</m:t>
                    </m:r>
                  </m:sup>
                </m:sSup>
                <m:sSub>
                  <m:e>
                    <m:r>
                      <m:t>p</m:t>
                    </m:r>
                  </m:e>
                  <m:sub>
                    <m:r>
                      <m:t>θ</m:t>
                    </m:r>
                  </m:sub>
                </m:sSub>
                <m:r>
                  <m:t> </m:t>
                </m:r>
                <m:r>
                  <m:rPr>
                    <m:sty m:val="p"/>
                  </m:rPr>
                  <m:t>d</m:t>
                </m:r>
                <m:r>
                  <m:t>x</m:t>
                </m:r>
                <m:r>
                  <m:t> </m:t>
                </m:r>
                <m:r>
                  <m:rPr>
                    <m:sty m:val="p"/>
                  </m:rPr>
                  <m:t>d</m:t>
                </m:r>
                <m:r>
                  <m:t>v</m:t>
                </m:r>
              </m:e>
              <m:e>
                <m:r>
                  <m:rPr>
                    <m:sty m:val="p"/>
                  </m:rPr>
                  <m:t>=</m:t>
                </m:r>
                <m:sSup>
                  <m:e>
                    <m:r>
                      <m:rPr>
                        <m:sty m:val="p"/>
                      </m:rPr>
                      <m:t>sin</m:t>
                    </m:r>
                  </m:e>
                  <m:sup>
                    <m:r>
                      <m:t>2</m:t>
                    </m:r>
                  </m:sup>
                </m:sSup>
                <m:r>
                  <m:t>θ</m:t>
                </m:r>
                <m:r>
                  <m:t> </m:t>
                </m:r>
                <m:sSub>
                  <m:e>
                    <m:r>
                      <m:t>S</m:t>
                    </m:r>
                  </m:e>
                  <m:sub>
                    <m:r>
                      <m:t>y</m:t>
                    </m:r>
                    <m:r>
                      <m:t>y</m:t>
                    </m:r>
                  </m:sub>
                </m:sSub>
                <m:r>
                  <m:rPr>
                    <m:sty m:val="p"/>
                  </m:rPr>
                  <m:t>−</m:t>
                </m:r>
                <m:r>
                  <m:t>2</m:t>
                </m:r>
                <m:r>
                  <m:rPr>
                    <m:sty m:val="p"/>
                  </m:rPr>
                  <m:t>sin</m:t>
                </m:r>
                <m:r>
                  <m:t>θ</m:t>
                </m:r>
                <m:r>
                  <m:rPr>
                    <m:sty m:val="p"/>
                  </m:rPr>
                  <m:t>cos</m:t>
                </m:r>
                <m:r>
                  <m:t>θ</m:t>
                </m:r>
                <m:r>
                  <m:t> </m:t>
                </m:r>
                <m:sSub>
                  <m:e>
                    <m:r>
                      <m:t>S</m:t>
                    </m:r>
                  </m:e>
                  <m:sub>
                    <m:r>
                      <m:t>y</m:t>
                    </m:r>
                    <m:r>
                      <m:t>z</m:t>
                    </m:r>
                  </m:sub>
                </m:sSub>
                <m:r>
                  <m:rPr>
                    <m:sty m:val="p"/>
                  </m:rPr>
                  <m:t>+</m:t>
                </m:r>
                <m:sSup>
                  <m:e>
                    <m:r>
                      <m:rPr>
                        <m:sty m:val="p"/>
                      </m:rPr>
                      <m:t>cos</m:t>
                    </m:r>
                  </m:e>
                  <m:sup>
                    <m:r>
                      <m:t>2</m:t>
                    </m:r>
                  </m:sup>
                </m:sSup>
                <m:r>
                  <m:t>θ</m:t>
                </m:r>
                <m:r>
                  <m:t> </m:t>
                </m:r>
                <m:sSub>
                  <m:e>
                    <m:r>
                      <m:t>S</m:t>
                    </m:r>
                  </m:e>
                  <m:sub>
                    <m:r>
                      <m:t>z</m:t>
                    </m:r>
                    <m:r>
                      <m:t>z</m:t>
                    </m:r>
                  </m:sub>
                </m:sSub>
                <m:r>
                  <m:rPr>
                    <m:sty m:val="p"/>
                  </m:rPr>
                  <m:t>,</m:t>
                </m:r>
                <m:r>
                  <m:t>  </m:t>
                </m:r>
                <m:d>
                  <m:dPr>
                    <m:begChr m:val="("/>
                    <m:endChr m:val=")"/>
                    <m:sepChr m:val=""/>
                    <m:grow/>
                  </m:dPr>
                  <m:e>
                    <m:r>
                      <m:t>3.3</m:t>
                    </m:r>
                  </m:e>
                </m:d>
              </m:e>
            </m:mr>
          </m:m>
        </m:oMath>
      </m:oMathPara>
    </w:p>
    <w:p>
      <w:pPr>
        <w:pStyle w:val="FirstParagraph"/>
      </w:pPr>
      <w:r>
        <w:t xml:space="preserve">where</w:t>
      </w:r>
      <w:r>
        <w:t xml:space="preserve"> </w:t>
      </w:r>
      <m:oMath>
        <m:r>
          <m:t>M</m:t>
        </m:r>
      </m:oMath>
      <w:r>
        <w:t xml:space="preserve"> </w:t>
      </w:r>
      <w:r>
        <w:t xml:space="preserve">is the mass,</w:t>
      </w:r>
      <w:r>
        <w:t xml:space="preserve"> </w:t>
      </w:r>
      <m:oMath>
        <m:d>
          <m:dPr>
            <m:begChr m:val="("/>
            <m:endChr m:val=")"/>
            <m:sepChr m:val=""/>
            <m:grow/>
          </m:dPr>
          <m:e>
            <m:sSub>
              <m:e>
                <m:r>
                  <m:t>y</m:t>
                </m:r>
              </m:e>
              <m:sub>
                <m:r>
                  <m:t>c</m:t>
                </m:r>
              </m:sub>
            </m:sSub>
            <m:r>
              <m:rPr>
                <m:sty m:val="p"/>
              </m:rPr>
              <m:t>,</m:t>
            </m:r>
            <m:sSub>
              <m:e>
                <m:r>
                  <m:t>z</m:t>
                </m:r>
              </m:e>
              <m:sub>
                <m:r>
                  <m:t>c</m:t>
                </m:r>
              </m:sub>
            </m:sSub>
          </m:e>
        </m:d>
      </m:oMath>
      <w:r>
        <w:t xml:space="preserve"> </w:t>
      </w:r>
      <w:r>
        <w:t xml:space="preserve">the centroid and</w:t>
      </w:r>
      <w:r>
        <w:t xml:space="preserve"> </w:t>
      </w:r>
      <m:oMath>
        <m:r>
          <m:t>S</m:t>
        </m:r>
      </m:oMath>
      <w:r>
        <w:t xml:space="preserve"> </w:t>
      </w:r>
      <w:r>
        <w:t xml:space="preserve">the second central moments (for a cone beam, Eq. (3.1) holds up to a known magnification factor). Every view gives the mass directly (Eq. (3.1)). The depth position enters only through</w:t>
      </w:r>
      <w:r>
        <w:t xml:space="preserve"> </w:t>
      </w:r>
      <m:oMath>
        <m:r>
          <m:rPr>
            <m:sty m:val="p"/>
          </m:rPr>
          <m:t>sin</m:t>
        </m:r>
        <m:r>
          <m:t>θ</m:t>
        </m:r>
        <m:r>
          <m:rPr>
            <m:sty m:val="p"/>
          </m:rPr>
          <m:t>≤</m:t>
        </m:r>
        <m:r>
          <m:rPr>
            <m:sty m:val="p"/>
          </m:rPr>
          <m:t>sin</m:t>
        </m:r>
        <m:sSup>
          <m:e>
            <m:r>
              <m:t>15</m:t>
            </m:r>
          </m:e>
          <m:sup>
            <m:r>
              <m:rPr>
                <m:sty m:val="p"/>
              </m:rPr>
              <m:t>∘</m:t>
            </m:r>
          </m:sup>
        </m:sSup>
      </m:oMath>
      <w:r>
        <w:t xml:space="preserve">, making it</w:t>
      </w:r>
      <w:r>
        <w:t xml:space="preserve"> </w:t>
      </w:r>
      <m:oMath>
        <m:r>
          <m:t>1</m:t>
        </m:r>
        <m:r>
          <m:rPr>
            <m:sty m:val="p"/>
          </m:rPr>
          <m:t>/</m:t>
        </m:r>
        <m:r>
          <m:rPr>
            <m:sty m:val="p"/>
          </m:rPr>
          <m:t>sin</m:t>
        </m:r>
        <m:sSup>
          <m:e>
            <m:r>
              <m:t>15</m:t>
            </m:r>
          </m:e>
          <m:sup>
            <m:r>
              <m:rPr>
                <m:sty m:val="p"/>
              </m:rPr>
              <m:t>∘</m:t>
            </m:r>
          </m:sup>
        </m:sSup>
        <m:r>
          <m:rPr>
            <m:sty m:val="p"/>
          </m:rPr>
          <m:t>≈</m:t>
        </m:r>
        <m:r>
          <m:t>3.9</m:t>
        </m:r>
      </m:oMath>
      <w:r>
        <w:t xml:space="preserve"> </w:t>
      </w:r>
      <w:r>
        <w:t xml:space="preserve">times worse conditioned than in-plane position, and the depth extent</w:t>
      </w:r>
      <w:r>
        <w:t xml:space="preserve"> </w:t>
      </w:r>
      <m:oMath>
        <m:sSub>
          <m:e>
            <m:r>
              <m:t>S</m:t>
            </m:r>
          </m:e>
          <m:sub>
            <m:r>
              <m:t>y</m:t>
            </m:r>
            <m:r>
              <m:t>y</m:t>
            </m:r>
          </m:sub>
        </m:sSub>
      </m:oMath>
      <w:r>
        <w:t xml:space="preserve">, which volume needs, enters through</w:t>
      </w:r>
      <w:r>
        <w:t xml:space="preserve"> </w:t>
      </w:r>
      <m:oMath>
        <m:sSup>
          <m:e>
            <m:r>
              <m:rPr>
                <m:sty m:val="p"/>
              </m:rPr>
              <m:t>sin</m:t>
            </m:r>
          </m:e>
          <m:sup>
            <m:r>
              <m:t>2</m:t>
            </m:r>
          </m:sup>
        </m:sSup>
        <m:r>
          <m:t>θ</m:t>
        </m:r>
      </m:oMath>
      <w:r>
        <w:t xml:space="preserve">, about</w:t>
      </w:r>
      <w:r>
        <w:t xml:space="preserve"> </w:t>
      </w:r>
      <m:oMath>
        <m:r>
          <m:t>1</m:t>
        </m:r>
        <m:r>
          <m:rPr>
            <m:sty m:val="p"/>
          </m:rPr>
          <m:t>/</m:t>
        </m:r>
        <m:sSup>
          <m:e>
            <m:r>
              <m:rPr>
                <m:sty m:val="p"/>
              </m:rPr>
              <m:t>sin</m:t>
            </m:r>
          </m:e>
          <m:sup>
            <m:r>
              <m:t>2</m:t>
            </m:r>
          </m:sup>
        </m:sSup>
        <m:sSup>
          <m:e>
            <m:r>
              <m:t>15</m:t>
            </m:r>
          </m:e>
          <m:sup>
            <m:r>
              <m:rPr>
                <m:sty m:val="p"/>
              </m:rPr>
              <m:t>∘</m:t>
            </m:r>
          </m:sup>
        </m:sSup>
        <m:r>
          <m:rPr>
            <m:sty m:val="p"/>
          </m:rPr>
          <m:t>≈</m:t>
        </m:r>
        <m:r>
          <m:t>15</m:t>
        </m:r>
      </m:oMath>
      <w:r>
        <w:t xml:space="preserve"> </w:t>
      </w:r>
      <w:r>
        <w:t xml:space="preserve">times worse. Step 01 confirms this numerically: the detector integral matched the mass to 0.03% in all 15 views, and an object three times deeper with equal mass gave the same integrals.</w:t>
      </w:r>
    </w:p>
    <w:bookmarkEnd w:id="81"/>
    <w:bookmarkStart w:id="85" w:name="proposed-architecture"/>
    <w:p>
      <w:pPr>
        <w:pStyle w:val="Heading3"/>
      </w:pPr>
      <w:r>
        <w:t xml:space="preserve">3.2.4 Proposed Architecture</w:t>
      </w:r>
    </w:p>
    <w:p>
      <w:pPr>
        <w:pStyle w:val="FirstParagraph"/>
      </w:pPr>
      <w:r>
        <w:t xml:space="preserve">Figure 3.6 gives an overview of the method; its stages are described below.</w:t>
      </w:r>
    </w:p>
    <w:p>
      <w:pPr>
        <w:pStyle w:val="BodyText"/>
        <w:jc w:val="center"/>
      </w:pPr>
      <w:r>
        <w:drawing>
          <wp:inline>
            <wp:extent cx="5334000" cy="2987724"/>
            <wp:effectExtent b="0" l="0" r="0" t="0"/>
            <wp:docPr descr="image" title="" id="83" name="Picture"/>
            <a:graphic>
              <a:graphicData uri="http://schemas.openxmlformats.org/drawingml/2006/picture">
                <pic:pic>
                  <pic:nvPicPr>
                    <pic:cNvPr descr="/home/user/medlift3d/report/docx_build/figs/fig_pipeline.png" id="84" name="Picture"/>
                    <pic:cNvPicPr>
                      <a:picLocks noChangeArrowheads="1" noChangeAspect="1"/>
                    </pic:cNvPicPr>
                  </pic:nvPicPr>
                  <pic:blipFill>
                    <a:blip r:embed="rId82"/>
                    <a:stretch>
                      <a:fillRect/>
                    </a:stretch>
                  </pic:blipFill>
                  <pic:spPr bwMode="auto">
                    <a:xfrm>
                      <a:off x="0" y="0"/>
                      <a:ext cx="5334000" cy="2987724"/>
                    </a:xfrm>
                    <a:prstGeom prst="rect">
                      <a:avLst/>
                    </a:prstGeom>
                    <a:noFill/>
                    <a:ln w="9525">
                      <a:noFill/>
                      <a:headEnd/>
                      <a:tailEnd/>
                    </a:ln>
                  </pic:spPr>
                </pic:pic>
              </a:graphicData>
            </a:graphic>
          </wp:inline>
        </w:drawing>
      </w:r>
    </w:p>
    <w:p>
      <w:pPr>
        <w:pStyle w:val="BodyText"/>
        <w:jc w:val="center"/>
      </w:pPr>
      <w:r>
        <w:rPr>
          <w:bCs/>
          <w:b/>
          <w:iCs/>
          <w:i/>
          <w:sz w:val="20"/>
        </w:rPr>
        <w:t xml:space="preserve">Figure 3.6:</w:t>
      </w:r>
      <w:r>
        <w:rPr>
          <w:iCs/>
          <w:i/>
          <w:sz w:val="20"/>
        </w:rPr>
        <w:t xml:space="preserve"> </w:t>
      </w:r>
      <w:r>
        <w:rPr>
          <w:iCs/>
          <w:i/>
          <w:sz w:val="20"/>
        </w:rPr>
        <w:t xml:space="preserve">MedLift-3D method overview. (A) Physics: low-dose DTS is simulated, reconstructed and cut to a prism around the click. (B) A conditional 3D diffusion prior generates eight hypotheses of the prism, each kept consistent with the X-rays. (C) Gaussians give closed-form mass; the eight measurements are calibrated into intervals and category probabilities.</w:t>
      </w:r>
    </w:p>
    <w:p>
      <w:pPr>
        <w:pStyle w:val="BodyText"/>
      </w:pPr>
      <w:r>
        <w:rPr>
          <w:bCs/>
          <w:b/>
        </w:rPr>
        <w:t xml:space="preserve">Stage 1: simulated low-dose DTS.</w:t>
      </w:r>
      <w:r>
        <w:t xml:space="preserve"> </w:t>
      </w:r>
      <w:r>
        <w:t xml:space="preserve">The CT table is removed, then 15 views over</w:t>
      </w:r>
      <w:r>
        <w:t xml:space="preserve"> </w:t>
      </w:r>
      <m:oMath>
        <m:r>
          <m:rPr>
            <m:sty m:val="p"/>
          </m:rPr>
          <m:t>±</m:t>
        </m:r>
        <m:sSup>
          <m:e>
            <m:r>
              <m:t>15</m:t>
            </m:r>
          </m:e>
          <m:sup>
            <m:r>
              <m:rPr>
                <m:sty m:val="p"/>
              </m:rPr>
              <m:t>∘</m:t>
            </m:r>
          </m:sup>
        </m:sSup>
      </m:oMath>
      <w:r>
        <w:t xml:space="preserve"> </w:t>
      </w:r>
      <w:r>
        <w:t xml:space="preserve">are simulated at CT resolution with 0.5 mm ray sampling, SID 1800 mm, a 43 cm flat panel with 0.8 mm pixels, monochromatic attenuation and Poisson noise at</w:t>
      </w:r>
      <w:r>
        <w:t xml:space="preserve"> </w:t>
      </w:r>
      <m:oMath>
        <m:sSub>
          <m:e>
            <m:r>
              <m:t>I</m:t>
            </m:r>
          </m:e>
          <m:sub>
            <m:r>
              <m:t>0</m:t>
            </m:r>
          </m:sub>
        </m:sSub>
        <m:r>
          <m:rPr>
            <m:sty m:val="p"/>
          </m:rPr>
          <m:t>=</m:t>
        </m:r>
        <m:r>
          <m:t>2</m:t>
        </m:r>
        <m:r>
          <m:rPr>
            <m:sty m:val="p"/>
          </m:rPr>
          <m:t>×</m:t>
        </m:r>
        <m:sSup>
          <m:e>
            <m:r>
              <m:t>10</m:t>
            </m:r>
          </m:e>
          <m:sup>
            <m:r>
              <m:t>4</m:t>
            </m:r>
          </m:sup>
        </m:sSup>
      </m:oMath>
      <w:r>
        <w:t xml:space="preserve">. The geometry matches the GE VolumeRAD sweep; reconstruction uses different grids than simulation to avoid the inverse crime.</w:t>
      </w:r>
    </w:p>
    <w:p>
      <w:pPr>
        <w:pStyle w:val="BodyText"/>
      </w:pPr>
      <w:r>
        <w:rPr>
          <w:bCs/>
          <w:b/>
        </w:rPr>
        <w:t xml:space="preserve">Stage 2: whole-chest SIRT with depth support.</w:t>
      </w:r>
      <w:r>
        <w:t xml:space="preserve"> </w:t>
      </w:r>
      <w:r>
        <w:t xml:space="preserve">SIRT (40 iterations, 2.5 mm voxels) is confined in depth to the patient (body outline + 5 mm). Without this support the reconstruction placed attenuation in the air in front of and behind the patient, and on real chests the prism lost about a third of its attenuation; with it the prism keeps 98.7%.</w:t>
      </w:r>
    </w:p>
    <w:p>
      <w:pPr>
        <w:pStyle w:val="BodyText"/>
      </w:pPr>
      <w:r>
        <w:rPr>
          <w:bCs/>
          <w:b/>
        </w:rPr>
        <w:t xml:space="preserve">Stage 3: learned detector.</w:t>
      </w:r>
      <w:r>
        <w:t xml:space="preserve"> </w:t>
      </w:r>
      <w:r>
        <w:t xml:space="preserve">A small 3D U-Net [54] (0.34 M parameters) predicts a nodule heatmap from the SIRT volume, and its peaks are offered as suggestions. A Laplacian-of-Gaussian and Hessian blob detector is the training-free baseline.</w:t>
      </w:r>
    </w:p>
    <w:p>
      <w:pPr>
        <w:pStyle w:val="BodyText"/>
      </w:pPr>
      <w:r>
        <w:rPr>
          <w:bCs/>
          <w:b/>
        </w:rPr>
        <w:t xml:space="preserve">Stage 4: prism ROI.</w:t>
      </w:r>
      <w:r>
        <w:t xml:space="preserve"> </w:t>
      </w:r>
      <w:r>
        <w:t xml:space="preserve">Around the click, a</w:t>
      </w:r>
      <w:r>
        <w:t xml:space="preserve"> </w:t>
      </w:r>
      <m:oMath>
        <m:r>
          <m:t>64</m:t>
        </m:r>
        <m:r>
          <m:rPr>
            <m:sty m:val="p"/>
          </m:rPr>
          <m:t>×</m:t>
        </m:r>
        <m:r>
          <m:t>64</m:t>
        </m:r>
      </m:oMath>
      <w:r>
        <w:t xml:space="preserve"> mm column through the whole chest (</w:t>
      </w:r>
      <m:oMath>
        <m:r>
          <m:t>64</m:t>
        </m:r>
        <m:r>
          <m:rPr>
            <m:sty m:val="p"/>
          </m:rPr>
          <m:t>×</m:t>
        </m:r>
        <m:r>
          <m:t>128</m:t>
        </m:r>
        <m:r>
          <m:rPr>
            <m:sty m:val="p"/>
          </m:rPr>
          <m:t>×</m:t>
        </m:r>
        <m:r>
          <m:t>64</m:t>
        </m:r>
      </m:oMath>
      <w:r>
        <w:t xml:space="preserve"> </w:t>
      </w:r>
      <w:r>
        <w:t xml:space="preserve">voxels at</w:t>
      </w:r>
      <w:r>
        <w:t xml:space="preserve"> </w:t>
      </w:r>
      <m:oMath>
        <m:r>
          <m:t>1</m:t>
        </m:r>
        <m:r>
          <m:rPr>
            <m:sty m:val="p"/>
          </m:rPr>
          <m:t>×</m:t>
        </m:r>
        <m:r>
          <m:t>2</m:t>
        </m:r>
        <m:r>
          <m:rPr>
            <m:sty m:val="p"/>
          </m:rPr>
          <m:t>×</m:t>
        </m:r>
        <m:r>
          <m:t>1</m:t>
        </m:r>
      </m:oMath>
      <w:r>
        <w:t xml:space="preserve"> mm) is reconstructed by SIRT using only rays that carry at least 50% of their attenuation inside the prism; the rest of the chest is subtracted using the coarse reconstruction. Depth is kept whole because each ray’s attenuation is spread along its full path: a small 3D box around the nodule gave a 73% error against 5–7% for the prism.</w:t>
      </w:r>
    </w:p>
    <w:p>
      <w:pPr>
        <w:pStyle w:val="BodyText"/>
      </w:pPr>
      <w:r>
        <w:rPr>
          <w:bCs/>
          <w:b/>
        </w:rPr>
        <w:t xml:space="preserve">Stage 5: conditional 3D diffusion prior.</w:t>
      </w:r>
      <w:r>
        <w:t xml:space="preserve"> </w:t>
      </w:r>
      <w:r>
        <w:t xml:space="preserve">A 3D U-Net (Figure 3.7; base 32 channels, multipliers 1/2/4/4, two residual blocks per level, attention at the lowest level, 17.42 M parameters) learns</w:t>
      </w:r>
      <w:r>
        <w:t xml:space="preserve"> </w:t>
      </w:r>
      <m:oMath>
        <m:r>
          <m:t>p</m:t>
        </m:r>
        <m:d>
          <m:dPr>
            <m:begChr m:val="("/>
            <m:endChr m:val=")"/>
            <m:sepChr m:val=""/>
            <m:grow/>
          </m:dPr>
          <m:e>
            <m:r>
              <m:rPr>
                <m:nor/>
                <m:sty m:val="p"/>
              </m:rPr>
              <m:t>CT prism</m:t>
            </m:r>
            <m:r>
              <m:rPr>
                <m:sty m:val="p"/>
              </m:rPr>
              <m:t>∣</m:t>
            </m:r>
            <m:r>
              <m:rPr>
                <m:nor/>
                <m:sty m:val="p"/>
              </m:rPr>
              <m:t>DTS prism</m:t>
            </m:r>
          </m:e>
        </m:d>
      </m:oMath>
      <w:r>
        <w:t xml:space="preserve"> </w:t>
      </w:r>
      <w:r>
        <w:t xml:space="preserve">with v-prediction, a cosine schedule over 1000 steps, EMA weights and bf16 mixed precision. Sampling uses 50 DDIM steps; from 60% of the way through, every denoised estimate</w:t>
      </w:r>
      <w:r>
        <w:t xml:space="preserve"> </w:t>
      </w:r>
      <m:oMath>
        <m:sSub>
          <m:e>
            <m:acc>
              <m:accPr>
                <m:chr m:val="̂"/>
              </m:accPr>
              <m:e>
                <m:r>
                  <m:rPr>
                    <m:sty m:val="b"/>
                  </m:rPr>
                  <m:t>x</m:t>
                </m:r>
              </m:e>
            </m:acc>
          </m:e>
          <m:sub>
            <m:r>
              <m:t>0</m:t>
            </m:r>
          </m:sub>
        </m:sSub>
      </m:oMath>
      <w:r>
        <w:t xml:space="preserve"> </w:t>
      </w:r>
      <w:r>
        <w:t xml:space="preserve">receives two SIRT data-consistency iterations,</w:t>
      </w:r>
    </w:p>
    <w:p>
      <w:pPr>
        <w:pStyle w:val="BodyText"/>
      </w:pPr>
      <m:oMathPara>
        <m:oMathParaPr>
          <m:jc m:val="center"/>
        </m:oMathParaPr>
        <m:oMath>
          <m:sSub>
            <m:e>
              <m:acc>
                <m:accPr>
                  <m:chr m:val="̂"/>
                </m:accPr>
                <m:e>
                  <m:r>
                    <m:rPr>
                      <m:sty m:val="b"/>
                    </m:rPr>
                    <m:t>x</m:t>
                  </m:r>
                </m:e>
              </m:acc>
            </m:e>
            <m:sub>
              <m:r>
                <m:t>0</m:t>
              </m:r>
            </m:sub>
          </m:sSub>
          <m:r>
            <m:rPr>
              <m:sty m:val="p"/>
            </m:rPr>
            <m:t>←</m:t>
          </m:r>
          <m:sSub>
            <m:e>
              <m:acc>
                <m:accPr>
                  <m:chr m:val="̂"/>
                </m:accPr>
                <m:e>
                  <m:r>
                    <m:rPr>
                      <m:sty m:val="b"/>
                    </m:rPr>
                    <m:t>x</m:t>
                  </m:r>
                </m:e>
              </m:acc>
            </m:e>
            <m:sub>
              <m:r>
                <m:t>0</m:t>
              </m:r>
            </m:sub>
          </m:sSub>
          <m:r>
            <m:rPr>
              <m:sty m:val="p"/>
            </m:rPr>
            <m:t>+</m:t>
          </m:r>
          <m:r>
            <m:t>λ</m:t>
          </m:r>
          <m:r>
            <m:t> </m:t>
          </m:r>
          <m:r>
            <m:t>C</m:t>
          </m:r>
          <m:sSup>
            <m:e>
              <m:r>
                <m:t>A</m:t>
              </m:r>
            </m:e>
            <m:sup>
              <m:r>
                <m:rPr>
                  <m:sty m:val="p"/>
                </m:rPr>
                <m:t>⊤</m:t>
              </m:r>
            </m:sup>
          </m:sSup>
          <m:r>
            <m:t>R</m:t>
          </m:r>
          <m:r>
            <m:t> </m:t>
          </m:r>
          <m:d>
            <m:dPr>
              <m:begChr m:val="("/>
              <m:endChr m:val=")"/>
              <m:sepChr m:val=""/>
              <m:grow/>
            </m:dPr>
            <m:e>
              <m:r>
                <m:rPr>
                  <m:sty m:val="b"/>
                </m:rPr>
                <m:t>b</m:t>
              </m:r>
              <m:r>
                <m:rPr>
                  <m:sty m:val="p"/>
                </m:rPr>
                <m:t>−</m:t>
              </m:r>
              <m:r>
                <m:t>A</m:t>
              </m:r>
              <m:sSub>
                <m:e>
                  <m:acc>
                    <m:accPr>
                      <m:chr m:val="̂"/>
                    </m:accPr>
                    <m:e>
                      <m:r>
                        <m:rPr>
                          <m:sty m:val="b"/>
                        </m:rPr>
                        <m:t>x</m:t>
                      </m:r>
                    </m:e>
                  </m:acc>
                </m:e>
                <m:sub>
                  <m:r>
                    <m:t>0</m:t>
                  </m:r>
                </m:sub>
              </m:sSub>
            </m:e>
          </m:d>
          <m:r>
            <m:rPr>
              <m:sty m:val="p"/>
            </m:rPr>
            <m:t>,</m:t>
          </m:r>
          <m:r>
            <m:t>  </m:t>
          </m:r>
          <m:d>
            <m:dPr>
              <m:begChr m:val="("/>
              <m:endChr m:val=")"/>
              <m:sepChr m:val=""/>
              <m:grow/>
            </m:dPr>
            <m:e>
              <m:r>
                <m:t>3.4</m:t>
              </m:r>
            </m:e>
          </m:d>
        </m:oMath>
      </m:oMathPara>
    </w:p>
    <w:p>
      <w:pPr>
        <w:pStyle w:val="FirstParagraph"/>
      </w:pPr>
      <w:r>
        <w:t xml:space="preserve">before the next DDIM step. Eight samples give eight hypotheses that agree with the X-rays but differ where the X-rays are blind.</w:t>
      </w:r>
    </w:p>
    <w:p>
      <w:pPr>
        <w:pStyle w:val="BodyText"/>
      </w:pPr>
      <w:r>
        <w:rPr>
          <w:bCs/>
          <w:b/>
        </w:rPr>
        <w:t xml:space="preserve">Stage 6: 3D Gaussians and measurement.</w:t>
      </w:r>
      <w:r>
        <w:t xml:space="preserve"> </w:t>
      </w:r>
      <w:r>
        <w:t xml:space="preserve">For each hypothesis the nodule box (</w:t>
      </w:r>
      <m:oMath>
        <m:r>
          <m:t>40</m:t>
        </m:r>
        <m:r>
          <m:rPr>
            <m:sty m:val="p"/>
          </m:rPr>
          <m:t>×</m:t>
        </m:r>
        <m:r>
          <m:t>50</m:t>
        </m:r>
        <m:r>
          <m:rPr>
            <m:sty m:val="p"/>
          </m:rPr>
          <m:t>×</m:t>
        </m:r>
        <m:r>
          <m:t>40</m:t>
        </m:r>
      </m:oMath>
      <w:r>
        <w:t xml:space="preserve"> mm) is fitted with anisotropic Gaussians (100 fitting and 100 refinement iterations against the measured projections, the rest of the prism fixed). A seeded half-maximum segmentation, confined to a plausible nodule extent, gives the volume; Eq. (2.5) gives the mass; and the long-axis 2D diameter is kept as the clinical baseline.</w:t>
      </w:r>
    </w:p>
    <w:p>
      <w:pPr>
        <w:pStyle w:val="BodyText"/>
      </w:pPr>
      <w:r>
        <w:rPr>
          <w:bCs/>
          <w:b/>
        </w:rPr>
        <w:t xml:space="preserve">Stage 7: uncertainty.</w:t>
      </w:r>
      <w:r>
        <w:t xml:space="preserve"> </w:t>
      </w:r>
      <w:r>
        <w:t xml:space="preserve">The eight hypotheses give a log-scale spread</w:t>
      </w:r>
      <w:r>
        <w:t xml:space="preserve"> </w:t>
      </w:r>
      <m:oMath>
        <m:acc>
          <m:accPr>
            <m:chr m:val="̂"/>
          </m:accPr>
          <m:e>
            <m:r>
              <m:t>σ</m:t>
            </m:r>
          </m:e>
        </m:acc>
      </m:oMath>
      <w:r>
        <w:t xml:space="preserve">. On the calibration patients this spread is calibrated with (a) split-conformal asymmetric intervals (step 10) and (b) normalised and Mondrian conformal predictive systems with crepes (step 16), which give full predictive distributions, EUPS category probabilities and category sets.</w:t>
      </w:r>
    </w:p>
    <w:p>
      <w:pPr>
        <w:pStyle w:val="BodyText"/>
      </w:pPr>
      <w:r>
        <w:rPr>
          <w:bCs/>
          <w:b/>
        </w:rPr>
        <w:t xml:space="preserve">Stage 8: growth.</w:t>
      </w:r>
      <w:r>
        <w:t xml:space="preserve"> </w:t>
      </w:r>
      <w:r>
        <w:t xml:space="preserve">Each nodule is grown in the CT by a known factor, its projections are updated and fresh noise added; VDT and MDT are measured and assigned to the NELSON categories.</w:t>
      </w:r>
    </w:p>
    <w:p>
      <w:pPr>
        <w:pStyle w:val="BodyText"/>
      </w:pPr>
      <w:r>
        <w:rPr>
          <w:bCs/>
          <w:b/>
        </w:rPr>
        <w:t xml:space="preserve">Stage 9: explanation.</w:t>
      </w:r>
      <w:r>
        <w:t xml:space="preserve"> </w:t>
      </w:r>
      <w:r>
        <w:t xml:space="preserve">The true CT prism is split into seen and unseen parts by conjugate-gradient least squares (CGLS) [55] on the prism projection operator. We measure how much of the nodule’s mass and shape lies in each part and the prior’s</w:t>
      </w:r>
      <w:r>
        <w:t xml:space="preserve"> </w:t>
      </w:r>
      <w:r>
        <w:rPr>
          <w:iCs/>
          <w:i/>
        </w:rPr>
        <w:t xml:space="preserve">unseen skill</w:t>
      </w:r>
      <w:r>
        <w:t xml:space="preserve">, the correlation of its unseen content with the truth’s (Figure 2.1). Input</w:t>
      </w:r>
      <m:oMath>
        <m:r>
          <m:rPr>
            <m:sty m:val="p"/>
          </m:rPr>
          <m:t>×</m:t>
        </m:r>
      </m:oMath>
      <w:r>
        <w:t xml:space="preserve">gradient saliency explains the detector, and rank correlations relate the measurement error to nodule size, depth and contrast.</w:t>
      </w:r>
    </w:p>
    <w:bookmarkEnd w:id="85"/>
    <w:bookmarkStart w:id="89" w:name="diffusion-network-architecture"/>
    <w:p>
      <w:pPr>
        <w:pStyle w:val="Heading3"/>
      </w:pPr>
      <w:r>
        <w:t xml:space="preserve">3.2.5 Diffusion Network Architecture</w:t>
      </w:r>
    </w:p>
    <w:p>
      <w:pPr>
        <w:pStyle w:val="FirstParagraph"/>
      </w:pPr>
      <w:r>
        <w:t xml:space="preserve">Figure 3.7 shows the conditional 3D U-Net. The noisy prism and the DTS condition enter as two channels; four resolution levels with 32, 64, 128 and 128 channels use two residual blocks each in the encoder and three in the decoder, with skip connections between them; multi-head self-attention runs at the coarsest level (</w:t>
      </w:r>
      <m:oMath>
        <m:r>
          <m:t>8</m:t>
        </m:r>
        <m:r>
          <m:rPr>
            <m:sty m:val="p"/>
          </m:rPr>
          <m:t>×</m:t>
        </m:r>
        <m:r>
          <m:t>16</m:t>
        </m:r>
        <m:r>
          <m:rPr>
            <m:sty m:val="p"/>
          </m:rPr>
          <m:t>×</m:t>
        </m:r>
        <m:r>
          <m:t>8</m:t>
        </m:r>
      </m:oMath>
      <w:r>
        <w:t xml:space="preserve">) and in the bottleneck; and a sinusoidal timestep embedding passed through an MLP is added inside every residual block. The output layer is initialised to zero so that training starts from a stable state.</w:t>
      </w:r>
    </w:p>
    <w:p>
      <w:pPr>
        <w:pStyle w:val="BodyText"/>
        <w:jc w:val="center"/>
      </w:pPr>
      <w:r>
        <w:drawing>
          <wp:inline>
            <wp:extent cx="5334000" cy="3533919"/>
            <wp:effectExtent b="0" l="0" r="0" t="0"/>
            <wp:docPr descr="image" title="" id="87" name="Picture"/>
            <a:graphic>
              <a:graphicData uri="http://schemas.openxmlformats.org/drawingml/2006/picture">
                <pic:pic>
                  <pic:nvPicPr>
                    <pic:cNvPr descr="/home/user/medlift3d/report/docx_build/figs/fig_unet.png" id="88" name="Picture"/>
                    <pic:cNvPicPr>
                      <a:picLocks noChangeArrowheads="1" noChangeAspect="1"/>
                    </pic:cNvPicPr>
                  </pic:nvPicPr>
                  <pic:blipFill>
                    <a:blip r:embed="rId86"/>
                    <a:stretch>
                      <a:fillRect/>
                    </a:stretch>
                  </pic:blipFill>
                  <pic:spPr bwMode="auto">
                    <a:xfrm>
                      <a:off x="0" y="0"/>
                      <a:ext cx="5334000" cy="3533919"/>
                    </a:xfrm>
                    <a:prstGeom prst="rect">
                      <a:avLst/>
                    </a:prstGeom>
                    <a:noFill/>
                    <a:ln w="9525">
                      <a:noFill/>
                      <a:headEnd/>
                      <a:tailEnd/>
                    </a:ln>
                  </pic:spPr>
                </pic:pic>
              </a:graphicData>
            </a:graphic>
          </wp:inline>
        </w:drawing>
      </w:r>
    </w:p>
    <w:p>
      <w:pPr>
        <w:pStyle w:val="BodyText"/>
        <w:jc w:val="center"/>
      </w:pPr>
      <w:r>
        <w:rPr>
          <w:bCs/>
          <w:b/>
          <w:iCs/>
          <w:i/>
          <w:sz w:val="20"/>
        </w:rPr>
        <w:t xml:space="preserve">Figure 3.7:</w:t>
      </w:r>
      <w:r>
        <w:rPr>
          <w:iCs/>
          <w:i/>
          <w:sz w:val="20"/>
        </w:rPr>
        <w:t xml:space="preserve"> </w:t>
      </w:r>
      <w:r>
        <w:rPr>
          <w:iCs/>
          <w:i/>
          <w:sz w:val="20"/>
        </w:rPr>
        <w:t xml:space="preserve">Conditional 3D U-Net of the diffusion prior. The noisy prism</w:t>
      </w:r>
      <w:r>
        <w:rPr>
          <w:iCs/>
          <w:i/>
          <w:sz w:val="20"/>
        </w:rPr>
        <w:t xml:space="preserve"> </w:t>
      </w:r>
      <m:oMath>
        <m:sSub>
          <m:e>
            <m:r>
              <m:rPr>
                <m:sty m:val="b"/>
              </m:rPr>
              <m:t>x</m:t>
            </m:r>
          </m:e>
          <m:sub>
            <m:r>
              <m:t>t</m:t>
            </m:r>
          </m:sub>
        </m:sSub>
      </m:oMath>
      <w:r>
        <w:rPr>
          <w:iCs/>
          <w:i/>
          <w:sz w:val="20"/>
        </w:rPr>
        <w:t xml:space="preserve"> </w:t>
      </w:r>
      <w:r>
        <w:rPr>
          <w:iCs/>
          <w:i/>
          <w:sz w:val="20"/>
        </w:rPr>
        <w:t xml:space="preserve">is concatenated with the DTS condition</w:t>
      </w:r>
      <w:r>
        <w:rPr>
          <w:iCs/>
          <w:i/>
          <w:sz w:val="20"/>
        </w:rPr>
        <w:t xml:space="preserve"> </w:t>
      </w:r>
      <m:oMath>
        <m:r>
          <m:rPr>
            <m:sty m:val="b"/>
          </m:rPr>
          <m:t>c</m:t>
        </m:r>
      </m:oMath>
      <w:r>
        <w:rPr>
          <w:iCs/>
          <w:i/>
          <w:sz w:val="20"/>
        </w:rPr>
        <w:t xml:space="preserve">; the timestep embedding is added in every residual block; the network predicts the velocity</w:t>
      </w:r>
      <w:r>
        <w:rPr>
          <w:iCs/>
          <w:i/>
          <w:sz w:val="20"/>
        </w:rPr>
        <w:t xml:space="preserve"> </w:t>
      </w:r>
      <m:oMath>
        <m:sSub>
          <m:e>
            <m:acc>
              <m:accPr>
                <m:chr m:val="̂"/>
              </m:accPr>
              <m:e>
                <m:r>
                  <m:rPr>
                    <m:sty m:val="b"/>
                  </m:rPr>
                  <m:t>v</m:t>
                </m:r>
              </m:e>
            </m:acc>
          </m:e>
          <m:sub>
            <m:r>
              <m:t>θ</m:t>
            </m:r>
          </m:sub>
        </m:sSub>
      </m:oMath>
      <w:r>
        <w:rPr>
          <w:iCs/>
          <w:i/>
          <w:sz w:val="20"/>
        </w:rPr>
        <w:t xml:space="preserve">.</w:t>
      </w:r>
    </w:p>
    <w:bookmarkEnd w:id="89"/>
    <w:bookmarkStart w:id="90" w:name="alternative-solutions"/>
    <w:p>
      <w:pPr>
        <w:pStyle w:val="Heading3"/>
      </w:pPr>
      <w:r>
        <w:t xml:space="preserve">3.2.6 Alternative Solutions</w:t>
      </w:r>
    </w:p>
    <w:p>
      <w:pPr>
        <w:pStyle w:val="FirstParagraph"/>
      </w:pPr>
      <w:r>
        <w:t xml:space="preserve">Table 3.6 lists the alternatives and why they were rejected. The initial design of this project generated whole</w:t>
      </w:r>
      <w:r>
        <w:t xml:space="preserve"> </w:t>
      </w:r>
      <m:oMath>
        <m:sSup>
          <m:e>
            <m:r>
              <m:t>512</m:t>
            </m:r>
          </m:e>
          <m:sup>
            <m:r>
              <m:t>3</m:t>
            </m:r>
          </m:sup>
        </m:sSup>
      </m:oMath>
      <w:r>
        <w:t xml:space="preserve"> </w:t>
      </w:r>
      <w:r>
        <w:t xml:space="preserve">volumes with a latent diffusion model; it is included in the table because its lessons shaped the final design: a large generator judged by training losses could not show whether a single nodule measurement was right, so the goal was narrowed to clinical numbers that can be verified.</w:t>
      </w:r>
    </w:p>
    <w:p>
      <w:pPr>
        <w:pStyle w:val="BodyText"/>
        <w:jc w:val="center"/>
      </w:pPr>
      <w:r>
        <w:rPr>
          <w:bCs/>
          <w:b/>
          <w:iCs/>
          <w:i/>
          <w:sz w:val="20"/>
        </w:rPr>
        <w:t xml:space="preserve">Table 3.6:</w:t>
      </w:r>
      <w:r>
        <w:rPr>
          <w:iCs/>
          <w:i/>
          <w:sz w:val="20"/>
        </w:rPr>
        <w:t xml:space="preserve"> </w:t>
      </w:r>
      <w:r>
        <w:rPr>
          <w:iCs/>
          <w:i/>
          <w:sz w:val="20"/>
        </w:rPr>
        <w:t xml:space="preserve">Alternative solutions and the rationale for the selected design.</w:t>
      </w:r>
    </w:p>
    <w:tbl>
      <w:tblPr>
        <w:tblStyle w:val="Table"/>
        <w:tblW w:type="auto" w:w="0"/>
        <w:tblLook w:firstRow="1" w:lastRow="0" w:firstColumn="0" w:lastColumn="0" w:noHBand="0" w:noVBand="0" w:val="0020"/>
        <w:jc w:val="start"/>
        <w:tblBorders>
          <w:top w:val="single" w:sz="12" w:color="000000"/>
          <w:bottom w:val="single" w:sz="12" w:color="000000"/>
          <w:insideH w:val="single" w:sz="6" w:color="808080"/>
        </w:tblBorders>
      </w:tblPr>
      <w:tblGrid>
        <w:gridCol w:w="2655"/>
        <w:gridCol w:w="3186"/>
        <w:gridCol w:w="3186"/>
      </w:tblGrid>
      <w:tr>
        <w:trPr>
          <w:tblHeader w:val="true"/>
        </w:trPr>
        <w:tc>
          <w:tcPr>
            <w:tcW w:type="dxa" w:w="2656"/>
          </w:tcPr>
          <w:p>
            <w:pPr>
              <w:pStyle w:val="Compact"/>
              <w:spacing w:line="240" w:lineRule="auto" w:after="40"/>
              <w:jc w:val="left"/>
            </w:pPr>
            <w:r>
              <w:rPr>
                <w:b/>
                <w:sz w:val="19"/>
              </w:rPr>
              <w:t xml:space="preserve">Alternative</w:t>
            </w:r>
          </w:p>
        </w:tc>
        <w:tc>
          <w:tcPr>
            <w:tcW w:type="dxa" w:w="3187"/>
          </w:tcPr>
          <w:p>
            <w:pPr>
              <w:pStyle w:val="Compact"/>
              <w:spacing w:line="240" w:lineRule="auto" w:after="40"/>
              <w:jc w:val="left"/>
            </w:pPr>
            <w:r>
              <w:rPr>
                <w:b/>
                <w:sz w:val="19"/>
              </w:rPr>
              <w:t xml:space="preserve">Why rejected</w:t>
            </w:r>
          </w:p>
        </w:tc>
        <w:tc>
          <w:tcPr>
            <w:tcW w:type="dxa" w:w="3187"/>
          </w:tcPr>
          <w:p>
            <w:pPr>
              <w:pStyle w:val="Compact"/>
              <w:spacing w:line="240" w:lineRule="auto" w:after="40"/>
              <w:jc w:val="left"/>
            </w:pPr>
            <w:r>
              <w:rPr>
                <w:b/>
                <w:sz w:val="19"/>
              </w:rPr>
              <w:t xml:space="preserve">Selected instead</w:t>
            </w:r>
          </w:p>
        </w:tc>
      </w:tr>
      <w:tr>
        <w:tc>
          <w:tcPr>
            <w:tcW w:type="dxa" w:w="2656"/>
          </w:tcPr>
          <w:p>
            <w:pPr>
              <w:pStyle w:val="Compact"/>
              <w:spacing w:line="240" w:lineRule="auto" w:after="40"/>
              <w:jc w:val="left"/>
            </w:pPr>
            <w:r>
              <w:rPr>
                <w:sz w:val="19"/>
              </w:rPr>
              <w:t xml:space="preserve">FBP or SIRT alone</w:t>
            </w:r>
          </w:p>
        </w:tc>
        <w:tc>
          <w:tcPr>
            <w:tcW w:type="dxa" w:w="3187"/>
          </w:tcPr>
          <w:p>
            <w:pPr>
              <w:pStyle w:val="Compact"/>
              <w:spacing w:line="240" w:lineRule="auto" w:after="40"/>
              <w:jc w:val="left"/>
            </w:pPr>
            <w:r>
              <w:rPr>
                <w:sz w:val="19"/>
              </w:rPr>
              <w:t xml:space="preserve">Cannot fill the missing wedge; physics-only volume errors of 80–90% on small nodules</w:t>
            </w:r>
          </w:p>
        </w:tc>
        <w:tc>
          <w:tcPr>
            <w:tcW w:type="dxa" w:w="3187"/>
          </w:tcPr>
          <w:p>
            <w:pPr>
              <w:pStyle w:val="Compact"/>
              <w:spacing w:line="240" w:lineRule="auto" w:after="40"/>
              <w:jc w:val="left"/>
            </w:pPr>
            <w:r>
              <w:rPr>
                <w:sz w:val="19"/>
              </w:rPr>
              <w:t xml:space="preserve">SIRT as input and data-consistency step, plus a learned prior</w:t>
            </w:r>
          </w:p>
        </w:tc>
      </w:tr>
      <w:tr>
        <w:tc>
          <w:tcPr>
            <w:tcW w:type="dxa" w:w="2656"/>
          </w:tcPr>
          <w:p>
            <w:pPr>
              <w:pStyle w:val="Compact"/>
              <w:spacing w:line="240" w:lineRule="auto" w:after="40"/>
              <w:jc w:val="left"/>
            </w:pPr>
            <w:r>
              <w:rPr>
                <w:sz w:val="19"/>
              </w:rPr>
              <w:t xml:space="preserve">Neural radiance fields [46]</w:t>
            </w:r>
          </w:p>
        </w:tc>
        <w:tc>
          <w:tcPr>
            <w:tcW w:type="dxa" w:w="3187"/>
          </w:tcPr>
          <w:p>
            <w:pPr>
              <w:pStyle w:val="Compact"/>
              <w:spacing w:line="240" w:lineRule="auto" w:after="40"/>
              <w:jc w:val="left"/>
            </w:pPr>
            <w:r>
              <w:rPr>
                <w:sz w:val="19"/>
              </w:rPr>
              <w:t xml:space="preserve">Slow per-patient optimisation, implicit geometry, no prior for unseen depth</w:t>
            </w:r>
          </w:p>
        </w:tc>
        <w:tc>
          <w:tcPr>
            <w:tcW w:type="dxa" w:w="3187"/>
          </w:tcPr>
          <w:p>
            <w:pPr>
              <w:pStyle w:val="Compact"/>
              <w:spacing w:line="240" w:lineRule="auto" w:after="40"/>
              <w:jc w:val="left"/>
            </w:pPr>
            <w:r>
              <w:rPr>
                <w:sz w:val="19"/>
              </w:rPr>
              <w:t xml:space="preserve">Explicit 3D Gaussians with closed-form mass</w:t>
            </w:r>
          </w:p>
        </w:tc>
      </w:tr>
      <w:tr>
        <w:tc>
          <w:tcPr>
            <w:tcW w:type="dxa" w:w="2656"/>
          </w:tcPr>
          <w:p>
            <w:pPr>
              <w:pStyle w:val="Compact"/>
              <w:spacing w:line="240" w:lineRule="auto" w:after="40"/>
              <w:jc w:val="left"/>
            </w:pPr>
            <w:r>
              <w:rPr>
                <w:sz w:val="19"/>
              </w:rPr>
              <w:t xml:space="preserve">Whole-volume latent diffusion at</w:t>
            </w:r>
            <w:r>
              <w:rPr>
                <w:sz w:val="19"/>
              </w:rPr>
              <w:t xml:space="preserve"> </w:t>
            </w:r>
            <m:oMath>
              <m:sSup>
                <m:e>
                  <m:r>
                    <m:t>512</m:t>
                  </m:r>
                </m:e>
                <m:sup>
                  <m:r>
                    <m:t>3</m:t>
                  </m:r>
                </m:sup>
              </m:sSup>
            </m:oMath>
            <w:r>
              <w:rPr>
                <w:sz w:val="19"/>
              </w:rPr>
              <w:t xml:space="preserve"> </w:t>
            </w:r>
            <w:r>
              <w:rPr>
                <w:sz w:val="19"/>
              </w:rPr>
              <w:t xml:space="preserve">(initial design)</w:t>
            </w:r>
          </w:p>
        </w:tc>
        <w:tc>
          <w:tcPr>
            <w:tcW w:type="dxa" w:w="3187"/>
          </w:tcPr>
          <w:p>
            <w:pPr>
              <w:pStyle w:val="Compact"/>
              <w:spacing w:line="240" w:lineRule="auto" w:after="40"/>
              <w:jc w:val="left"/>
            </w:pPr>
            <w:r>
              <w:rPr>
                <w:sz w:val="19"/>
              </w:rPr>
              <w:t xml:space="preserve">Too large to train and verify in time and budget; evaluated by generative losses, not clinical numbers</w:t>
            </w:r>
          </w:p>
        </w:tc>
        <w:tc>
          <w:tcPr>
            <w:tcW w:type="dxa" w:w="3187"/>
          </w:tcPr>
          <w:p>
            <w:pPr>
              <w:pStyle w:val="Compact"/>
              <w:spacing w:line="240" w:lineRule="auto" w:after="40"/>
              <w:jc w:val="left"/>
            </w:pPr>
            <w:r>
              <w:rPr>
                <w:sz w:val="19"/>
              </w:rPr>
              <w:t xml:space="preserve">Small conditional prior on a prism, judged by calibrated measurements</w:t>
            </w:r>
          </w:p>
        </w:tc>
      </w:tr>
      <w:tr>
        <w:tc>
          <w:tcPr>
            <w:tcW w:type="dxa" w:w="2656"/>
          </w:tcPr>
          <w:p>
            <w:pPr>
              <w:pStyle w:val="Compact"/>
              <w:spacing w:line="240" w:lineRule="auto" w:after="40"/>
              <w:jc w:val="left"/>
            </w:pPr>
            <w:r>
              <w:rPr>
                <w:sz w:val="19"/>
              </w:rPr>
              <w:t xml:space="preserve">Small 3D box ROI</w:t>
            </w:r>
          </w:p>
        </w:tc>
        <w:tc>
          <w:tcPr>
            <w:tcW w:type="dxa" w:w="3187"/>
          </w:tcPr>
          <w:p>
            <w:pPr>
              <w:pStyle w:val="Compact"/>
              <w:spacing w:line="240" w:lineRule="auto" w:after="40"/>
              <w:jc w:val="left"/>
            </w:pPr>
            <w:r>
              <w:rPr>
                <w:sz w:val="19"/>
              </w:rPr>
              <w:t xml:space="preserve">Each ray’s attenuation lies mostly outside the box: 73% error vs 5–7%</w:t>
            </w:r>
          </w:p>
        </w:tc>
        <w:tc>
          <w:tcPr>
            <w:tcW w:type="dxa" w:w="3187"/>
          </w:tcPr>
          <w:p>
            <w:pPr>
              <w:pStyle w:val="Compact"/>
              <w:spacing w:line="240" w:lineRule="auto" w:after="40"/>
              <w:jc w:val="left"/>
            </w:pPr>
            <w:r>
              <w:rPr>
                <w:sz w:val="19"/>
              </w:rPr>
              <w:t xml:space="preserve">Prism through the whole chest</w:t>
            </w:r>
          </w:p>
        </w:tc>
      </w:tr>
      <w:tr>
        <w:tc>
          <w:tcPr>
            <w:tcW w:type="dxa" w:w="2656"/>
          </w:tcPr>
          <w:p>
            <w:pPr>
              <w:pStyle w:val="Compact"/>
              <w:spacing w:line="240" w:lineRule="auto" w:after="40"/>
              <w:jc w:val="left"/>
            </w:pPr>
            <w:r>
              <w:rPr>
                <w:sz w:val="19"/>
              </w:rPr>
              <w:t xml:space="preserve">GAN prior</w:t>
            </w:r>
          </w:p>
        </w:tc>
        <w:tc>
          <w:tcPr>
            <w:tcW w:type="dxa" w:w="3187"/>
          </w:tcPr>
          <w:p>
            <w:pPr>
              <w:pStyle w:val="Compact"/>
              <w:spacing w:line="240" w:lineRule="auto" w:after="40"/>
              <w:jc w:val="left"/>
            </w:pPr>
            <w:r>
              <w:rPr>
                <w:sz w:val="19"/>
              </w:rPr>
              <w:t xml:space="preserve">Training instability; one output per input</w:t>
            </w:r>
          </w:p>
        </w:tc>
        <w:tc>
          <w:tcPr>
            <w:tcW w:type="dxa" w:w="3187"/>
          </w:tcPr>
          <w:p>
            <w:pPr>
              <w:pStyle w:val="Compact"/>
              <w:spacing w:line="240" w:lineRule="auto" w:after="40"/>
              <w:jc w:val="left"/>
            </w:pPr>
            <w:r>
              <w:rPr>
                <w:sz w:val="19"/>
              </w:rPr>
              <w:t xml:space="preserve">Diffusion: stable training, many hypotheses</w:t>
            </w:r>
          </w:p>
        </w:tc>
      </w:tr>
      <w:tr>
        <w:tc>
          <w:tcPr>
            <w:tcW w:type="dxa" w:w="2656"/>
          </w:tcPr>
          <w:p>
            <w:pPr>
              <w:pStyle w:val="Compact"/>
              <w:spacing w:line="240" w:lineRule="auto" w:after="40"/>
              <w:jc w:val="left"/>
            </w:pPr>
            <w:r>
              <w:rPr>
                <w:sz w:val="19"/>
              </w:rPr>
              <w:t xml:space="preserve">Unconditional prior with posterior sampling only</w:t>
            </w:r>
          </w:p>
        </w:tc>
        <w:tc>
          <w:tcPr>
            <w:tcW w:type="dxa" w:w="3187"/>
          </w:tcPr>
          <w:p>
            <w:pPr>
              <w:pStyle w:val="Compact"/>
              <w:spacing w:line="240" w:lineRule="auto" w:after="40"/>
              <w:jc w:val="left"/>
            </w:pPr>
            <w:r>
              <w:rPr>
                <w:sz w:val="19"/>
              </w:rPr>
              <w:t xml:space="preserve">Slower and weaker for a strongly ill-posed 30° problem</w:t>
            </w:r>
          </w:p>
        </w:tc>
        <w:tc>
          <w:tcPr>
            <w:tcW w:type="dxa" w:w="3187"/>
          </w:tcPr>
          <w:p>
            <w:pPr>
              <w:pStyle w:val="Compact"/>
              <w:spacing w:line="240" w:lineRule="auto" w:after="40"/>
              <w:jc w:val="left"/>
            </w:pPr>
            <w:r>
              <w:rPr>
                <w:sz w:val="19"/>
              </w:rPr>
              <w:t xml:space="preserve">Conditional model + SIRT data consistency</w:t>
            </w:r>
          </w:p>
        </w:tc>
      </w:tr>
      <w:tr>
        <w:tc>
          <w:tcPr>
            <w:tcW w:type="dxa" w:w="2656"/>
          </w:tcPr>
          <w:p>
            <w:pPr>
              <w:pStyle w:val="Compact"/>
              <w:spacing w:line="240" w:lineRule="auto" w:after="40"/>
              <w:jc w:val="left"/>
            </w:pPr>
            <w:r>
              <w:rPr>
                <w:sz w:val="19"/>
              </w:rPr>
              <w:t xml:space="preserve">Raw ensemble variance or MC dropout</w:t>
            </w:r>
          </w:p>
        </w:tc>
        <w:tc>
          <w:tcPr>
            <w:tcW w:type="dxa" w:w="3187"/>
          </w:tcPr>
          <w:p>
            <w:pPr>
              <w:pStyle w:val="Compact"/>
              <w:spacing w:line="240" w:lineRule="auto" w:after="40"/>
              <w:jc w:val="left"/>
            </w:pPr>
            <w:r>
              <w:rPr>
                <w:sz w:val="19"/>
              </w:rPr>
              <w:t xml:space="preserve">Not calibrated; no coverage guarantee</w:t>
            </w:r>
          </w:p>
        </w:tc>
        <w:tc>
          <w:tcPr>
            <w:tcW w:type="dxa" w:w="3187"/>
          </w:tcPr>
          <w:p>
            <w:pPr>
              <w:pStyle w:val="Compact"/>
              <w:spacing w:line="240" w:lineRule="auto" w:after="40"/>
              <w:jc w:val="left"/>
            </w:pPr>
            <w:r>
              <w:rPr>
                <w:sz w:val="19"/>
              </w:rPr>
              <w:t xml:space="preserve">Ensemble spread calibrated by conformal prediction</w:t>
            </w:r>
          </w:p>
        </w:tc>
      </w:tr>
      <w:tr>
        <w:tc>
          <w:tcPr>
            <w:tcW w:type="dxa" w:w="2656"/>
          </w:tcPr>
          <w:p>
            <w:pPr>
              <w:pStyle w:val="Compact"/>
              <w:spacing w:line="240" w:lineRule="auto" w:after="40"/>
              <w:jc w:val="left"/>
            </w:pPr>
            <w:r>
              <w:rPr>
                <w:sz w:val="19"/>
              </w:rPr>
              <w:t xml:space="preserve">Volume-only reporting</w:t>
            </w:r>
          </w:p>
        </w:tc>
        <w:tc>
          <w:tcPr>
            <w:tcW w:type="dxa" w:w="3187"/>
          </w:tcPr>
          <w:p>
            <w:pPr>
              <w:pStyle w:val="Compact"/>
              <w:spacing w:line="240" w:lineRule="auto" w:after="40"/>
              <w:jc w:val="left"/>
            </w:pPr>
            <w:r>
              <w:rPr>
                <w:sz w:val="19"/>
              </w:rPr>
              <w:t xml:space="preserve">Volume depends on the poorly measured depth</w:t>
            </w:r>
          </w:p>
        </w:tc>
        <w:tc>
          <w:tcPr>
            <w:tcW w:type="dxa" w:w="3187"/>
          </w:tcPr>
          <w:p>
            <w:pPr>
              <w:pStyle w:val="Compact"/>
              <w:spacing w:line="240" w:lineRule="auto" w:after="40"/>
              <w:jc w:val="left"/>
            </w:pPr>
            <w:r>
              <w:rPr>
                <w:sz w:val="19"/>
              </w:rPr>
              <w:t xml:space="preserve">Mass first, volume second, both with intervals</w:t>
            </w:r>
          </w:p>
        </w:tc>
      </w:tr>
    </w:tbl>
    <w:bookmarkEnd w:id="90"/>
    <w:bookmarkEnd w:id="91"/>
    <w:bookmarkStart w:id="95" w:name="project-plan"/>
    <w:p>
      <w:pPr>
        <w:pStyle w:val="Heading2"/>
      </w:pPr>
      <w:r>
        <w:t xml:space="preserve">3.3 Project Plan</w:t>
      </w:r>
    </w:p>
    <w:p>
      <w:pPr>
        <w:pStyle w:val="FirstParagraph"/>
      </w:pPr>
      <w:r>
        <w:t xml:space="preserve">MedLift-3D was developed over twelve months in an iterative research and development cycle, organised in four phases that match the task groups of the Gantt chart in Figure 3.8. The iterative approach suits the experimental nature of generative AI: the prior, the measurement and the uncertainty layer were revised whenever an intermediate verification step showed a problem.</w:t>
      </w:r>
    </w:p>
    <w:p>
      <w:pPr>
        <w:pStyle w:val="BodyText"/>
      </w:pPr>
      <w:r>
        <w:rPr>
          <w:bCs/>
          <w:b/>
        </w:rPr>
        <w:t xml:space="preserve">Phase 1: Inception, data and feasibility (months 1–3).</w:t>
      </w:r>
      <w:r>
        <w:t xml:space="preserve"> </w:t>
      </w:r>
      <w:r>
        <w:rPr>
          <w:iCs/>
          <w:i/>
        </w:rPr>
        <w:t xml:space="preserve">Objective:</w:t>
      </w:r>
      <w:r>
        <w:t xml:space="preserve"> </w:t>
      </w:r>
      <w:r>
        <w:t xml:space="preserve">establish the theoretical basis and a reliable data pipeline.</w:t>
      </w:r>
      <w:r>
        <w:t xml:space="preserve"> </w:t>
      </w:r>
      <w:r>
        <w:rPr>
          <w:iCs/>
          <w:i/>
        </w:rPr>
        <w:t xml:space="preserve">Tasks:</w:t>
      </w:r>
      <w:r>
        <w:t xml:space="preserve"> </w:t>
      </w:r>
      <w:r>
        <w:t xml:space="preserve">1.1 literature review and ethics, 1.2 dataset acquisition and preprocessing, 1.3 DTS simulation, 1.4 baseline reconstruction.</w:t>
      </w:r>
      <w:r>
        <w:t xml:space="preserve"> </w:t>
      </w:r>
      <w:r>
        <w:rPr>
          <w:iCs/>
          <w:i/>
        </w:rPr>
        <w:t xml:space="preserve">Deliverables:</w:t>
      </w:r>
      <w:r>
        <w:t xml:space="preserve"> </w:t>
      </w:r>
      <w:r>
        <w:t xml:space="preserve">literature review, curated LIDC-IDRI cases with consensus masks, the DTS simulator and baseline SIRT results.</w:t>
      </w:r>
    </w:p>
    <w:p>
      <w:pPr>
        <w:pStyle w:val="BodyText"/>
      </w:pPr>
      <w:r>
        <w:rPr>
          <w:bCs/>
          <w:b/>
        </w:rPr>
        <w:t xml:space="preserve">Phase 2: Core generative architecture (months 3–6).</w:t>
      </w:r>
      <w:r>
        <w:t xml:space="preserve"> </w:t>
      </w:r>
      <w:r>
        <w:rPr>
          <w:iCs/>
          <w:i/>
        </w:rPr>
        <w:t xml:space="preserve">Objective:</w:t>
      </w:r>
      <w:r>
        <w:t xml:space="preserve"> </w:t>
      </w:r>
      <w:r>
        <w:t xml:space="preserve">build and train the learned prior.</w:t>
      </w:r>
      <w:r>
        <w:t xml:space="preserve"> </w:t>
      </w:r>
      <w:r>
        <w:rPr>
          <w:iCs/>
          <w:i/>
        </w:rPr>
        <w:t xml:space="preserve">Tasks:</w:t>
      </w:r>
      <w:r>
        <w:t xml:space="preserve"> </w:t>
      </w:r>
      <w:r>
        <w:t xml:space="preserve">2.1 projection physics and its verification (including the projection-moment analysis), 2.2 prism ROI reconstruction, 2.3 conditional diffusion prior with data consistency, 2.4 diffusion training.</w:t>
      </w:r>
      <w:r>
        <w:t xml:space="preserve"> </w:t>
      </w:r>
      <w:r>
        <w:rPr>
          <w:iCs/>
          <w:i/>
        </w:rPr>
        <w:t xml:space="preserve">Deliverables:</w:t>
      </w:r>
      <w:r>
        <w:t xml:space="preserve"> </w:t>
      </w:r>
      <w:r>
        <w:t xml:space="preserve">verified differentiable projector, prism reconstruction, trained diffusion prior.</w:t>
      </w:r>
    </w:p>
    <w:p>
      <w:pPr>
        <w:pStyle w:val="BodyText"/>
      </w:pPr>
      <w:r>
        <w:rPr>
          <w:bCs/>
          <w:b/>
        </w:rPr>
        <w:t xml:space="preserve">Phase 3: Gaussians, detection and uncertainty (months 6–9).</w:t>
      </w:r>
      <w:r>
        <w:t xml:space="preserve"> </w:t>
      </w:r>
      <w:r>
        <w:rPr>
          <w:iCs/>
          <w:i/>
        </w:rPr>
        <w:t xml:space="preserve">Objective:</w:t>
      </w:r>
      <w:r>
        <w:t xml:space="preserve"> </w:t>
      </w:r>
      <w:r>
        <w:t xml:space="preserve">turn reconstructions into calibrated, explainable measurements.</w:t>
      </w:r>
      <w:r>
        <w:t xml:space="preserve"> </w:t>
      </w:r>
      <w:r>
        <w:rPr>
          <w:iCs/>
          <w:i/>
        </w:rPr>
        <w:t xml:space="preserve">Tasks:</w:t>
      </w:r>
      <w:r>
        <w:t xml:space="preserve"> </w:t>
      </w:r>
      <w:r>
        <w:t xml:space="preserve">3.1 Gaussian parameterisation and closed-form mass, 3.2 nodule detector, 3.3 conformal uncertainty, 3.4 explainability.</w:t>
      </w:r>
      <w:r>
        <w:t xml:space="preserve"> </w:t>
      </w:r>
      <w:r>
        <w:rPr>
          <w:iCs/>
          <w:i/>
        </w:rPr>
        <w:t xml:space="preserve">Deliverables:</w:t>
      </w:r>
      <w:r>
        <w:t xml:space="preserve"> </w:t>
      </w:r>
      <w:r>
        <w:t xml:space="preserve">measurement module, detector, calibrated intervals and probabilities, seen/unseen analysis.</w:t>
      </w:r>
    </w:p>
    <w:p>
      <w:pPr>
        <w:pStyle w:val="BodyText"/>
      </w:pPr>
      <w:r>
        <w:rPr>
          <w:bCs/>
          <w:b/>
        </w:rPr>
        <w:t xml:space="preserve">Phase 4: Validation, interface and deployment (months 9–12).</w:t>
      </w:r>
      <w:r>
        <w:t xml:space="preserve"> </w:t>
      </w:r>
      <w:r>
        <w:rPr>
          <w:iCs/>
          <w:i/>
        </w:rPr>
        <w:t xml:space="preserve">Objective:</w:t>
      </w:r>
      <w:r>
        <w:t xml:space="preserve"> </w:t>
      </w:r>
      <w:r>
        <w:t xml:space="preserve">evaluate the complete system and deliver it.</w:t>
      </w:r>
      <w:r>
        <w:t xml:space="preserve"> </w:t>
      </w:r>
      <w:r>
        <w:rPr>
          <w:iCs/>
          <w:i/>
        </w:rPr>
        <w:t xml:space="preserve">Tasks:</w:t>
      </w:r>
      <w:r>
        <w:t xml:space="preserve"> </w:t>
      </w:r>
      <w:r>
        <w:t xml:space="preserve">4.1 pilot and full-scale evaluation, 4.2 growth and sensitivity studies, 4.3 user interface development, 4.4 documentation and defense.</w:t>
      </w:r>
      <w:r>
        <w:t xml:space="preserve"> </w:t>
      </w:r>
      <w:r>
        <w:rPr>
          <w:iCs/>
          <w:i/>
        </w:rPr>
        <w:t xml:space="preserve">Deliverables:</w:t>
      </w:r>
      <w:r>
        <w:t xml:space="preserve"> </w:t>
      </w:r>
      <w:r>
        <w:t xml:space="preserve">results of the 583-patient study, the click-to-3D application, the final report.</w:t>
      </w:r>
    </w:p>
    <w:p>
      <w:pPr>
        <w:pStyle w:val="BodyText"/>
        <w:jc w:val="center"/>
      </w:pPr>
      <w:r>
        <w:drawing>
          <wp:inline>
            <wp:extent cx="5334000" cy="3982116"/>
            <wp:effectExtent b="0" l="0" r="0" t="0"/>
            <wp:docPr descr="image" title="" id="93" name="Picture"/>
            <a:graphic>
              <a:graphicData uri="http://schemas.openxmlformats.org/drawingml/2006/picture">
                <pic:pic>
                  <pic:nvPicPr>
                    <pic:cNvPr descr="/home/user/medlift3d/report/docx_build/figs/fig_gantt.png" id="94" name="Picture"/>
                    <pic:cNvPicPr>
                      <a:picLocks noChangeArrowheads="1" noChangeAspect="1"/>
                    </pic:cNvPicPr>
                  </pic:nvPicPr>
                  <pic:blipFill>
                    <a:blip r:embed="rId92"/>
                    <a:stretch>
                      <a:fillRect/>
                    </a:stretch>
                  </pic:blipFill>
                  <pic:spPr bwMode="auto">
                    <a:xfrm>
                      <a:off x="0" y="0"/>
                      <a:ext cx="5334000" cy="3982116"/>
                    </a:xfrm>
                    <a:prstGeom prst="rect">
                      <a:avLst/>
                    </a:prstGeom>
                    <a:noFill/>
                    <a:ln w="9525">
                      <a:noFill/>
                      <a:headEnd/>
                      <a:tailEnd/>
                    </a:ln>
                  </pic:spPr>
                </pic:pic>
              </a:graphicData>
            </a:graphic>
          </wp:inline>
        </w:drawing>
      </w:r>
    </w:p>
    <w:p>
      <w:pPr>
        <w:pStyle w:val="BodyText"/>
        <w:jc w:val="center"/>
      </w:pPr>
      <w:r>
        <w:rPr>
          <w:bCs/>
          <w:b/>
          <w:iCs/>
          <w:i/>
          <w:sz w:val="20"/>
        </w:rPr>
        <w:t xml:space="preserve">Figure 3.8:</w:t>
      </w:r>
      <w:r>
        <w:rPr>
          <w:iCs/>
          <w:i/>
          <w:sz w:val="20"/>
        </w:rPr>
        <w:t xml:space="preserve"> </w:t>
      </w:r>
      <w:r>
        <w:rPr>
          <w:iCs/>
          <w:i/>
          <w:sz w:val="20"/>
        </w:rPr>
        <w:t xml:space="preserve">Gantt chart of the twelve-month project schedule, by phase and task.</w:t>
      </w:r>
    </w:p>
    <w:bookmarkEnd w:id="95"/>
    <w:bookmarkStart w:id="96" w:name="task-allocation"/>
    <w:p>
      <w:pPr>
        <w:pStyle w:val="Heading2"/>
      </w:pPr>
      <w:r>
        <w:t xml:space="preserve">3.4 Task Allocation</w:t>
      </w:r>
    </w:p>
    <w:p>
      <w:pPr>
        <w:pStyle w:val="FirstParagraph"/>
      </w:pPr>
      <w:r>
        <w:t xml:space="preserve">Responsibilities were allocated according to the technical area in which each member is strongest, so that the critical paths of theoretical modelling, system optimisation and application engineering could progress in parallel. The mathematically intensive parts (the diffusion prior, its conditioning and data consistency, and the statistical calibration) need a solid theoretical grounding and were led by the lead AI architect. The systems engineer focused on performance and infrastructure, making the volumetric reconstruction feasible in GPU memory and running the computation on cloud GPUs. The full-stack developer connected the algorithms to clinical use, ensuring data quality, the user interface and the evaluation outputs. Every pipeline step has one owner who is accountable for its PASS/FAIL checks, and all members reviewed every step before the full run. Table 3.7 gives the detailed allocation.</w:t>
      </w:r>
    </w:p>
    <w:p>
      <w:pPr>
        <w:pStyle w:val="BodyText"/>
        <w:jc w:val="center"/>
      </w:pPr>
      <w:r>
        <w:rPr>
          <w:bCs/>
          <w:b/>
          <w:iCs/>
          <w:i/>
          <w:sz w:val="20"/>
        </w:rPr>
        <w:t xml:space="preserve">Table 3.7:</w:t>
      </w:r>
      <w:r>
        <w:rPr>
          <w:iCs/>
          <w:i/>
          <w:sz w:val="20"/>
        </w:rPr>
        <w:t xml:space="preserve"> </w:t>
      </w:r>
      <w:r>
        <w:rPr>
          <w:iCs/>
          <w:i/>
          <w:sz w:val="20"/>
        </w:rPr>
        <w:t xml:space="preserve">Detailed task allocation matrix.</w:t>
      </w:r>
    </w:p>
    <w:tbl>
      <w:tblPr>
        <w:tblStyle w:val="Table"/>
        <w:tblW w:type="auto" w:w="0"/>
        <w:tblLook w:firstRow="1" w:lastRow="0" w:firstColumn="0" w:lastColumn="0" w:noHBand="0" w:noVBand="0" w:val="0020"/>
        <w:jc w:val="start"/>
        <w:tblBorders>
          <w:top w:val="single" w:sz="12" w:color="000000"/>
          <w:bottom w:val="single" w:sz="12" w:color="000000"/>
          <w:insideH w:val="single" w:sz="6" w:color="808080"/>
        </w:tblBorders>
      </w:tblPr>
      <w:tblGrid>
        <w:gridCol w:w="2058"/>
        <w:gridCol w:w="2987"/>
        <w:gridCol w:w="3983"/>
      </w:tblGrid>
      <w:tr>
        <w:trPr>
          <w:tblHeader w:val="true"/>
        </w:trPr>
        <w:tc>
          <w:tcPr>
            <w:tcW w:type="dxa" w:w="2058"/>
          </w:tcPr>
          <w:p>
            <w:pPr>
              <w:pStyle w:val="Compact"/>
              <w:spacing w:line="240" w:lineRule="auto" w:after="40"/>
              <w:jc w:val="left"/>
            </w:pPr>
            <w:r>
              <w:rPr>
                <w:b/>
                <w:sz w:val="19"/>
              </w:rPr>
              <w:t xml:space="preserve">Team member</w:t>
            </w:r>
          </w:p>
        </w:tc>
        <w:tc>
          <w:tcPr>
            <w:tcW w:type="dxa" w:w="2988"/>
          </w:tcPr>
          <w:p>
            <w:pPr>
              <w:pStyle w:val="Compact"/>
              <w:spacing w:line="240" w:lineRule="auto" w:after="40"/>
              <w:jc w:val="left"/>
            </w:pPr>
            <w:r>
              <w:rPr>
                <w:b/>
                <w:sz w:val="19"/>
              </w:rPr>
              <w:t xml:space="preserve">Role and focus</w:t>
            </w:r>
          </w:p>
        </w:tc>
        <w:tc>
          <w:tcPr>
            <w:tcW w:type="dxa" w:w="3983"/>
          </w:tcPr>
          <w:p>
            <w:pPr>
              <w:pStyle w:val="Compact"/>
              <w:spacing w:line="240" w:lineRule="auto" w:after="40"/>
              <w:jc w:val="left"/>
            </w:pPr>
            <w:r>
              <w:rPr>
                <w:b/>
                <w:sz w:val="19"/>
              </w:rPr>
              <w:t xml:space="preserve">Detailed responsibilities</w:t>
            </w:r>
          </w:p>
        </w:tc>
      </w:tr>
      <w:tr>
        <w:tc>
          <w:tcPr>
            <w:tcW w:type="dxa" w:w="2058"/>
          </w:tcPr>
          <w:p>
            <w:pPr>
              <w:pStyle w:val="Compact"/>
              <w:spacing w:line="240" w:lineRule="auto" w:after="40"/>
              <w:jc w:val="left"/>
            </w:pPr>
            <w:r>
              <w:rPr>
                <w:sz w:val="19"/>
              </w:rPr>
              <w:t xml:space="preserve">Jubair Ahmed (011222136)</w:t>
            </w:r>
          </w:p>
        </w:tc>
        <w:tc>
          <w:tcPr>
            <w:tcW w:type="dxa" w:w="2988"/>
          </w:tcPr>
          <w:p>
            <w:pPr>
              <w:pStyle w:val="Compact"/>
              <w:spacing w:line="240" w:lineRule="auto" w:after="40"/>
              <w:jc w:val="left"/>
            </w:pPr>
            <w:r>
              <w:rPr>
                <w:sz w:val="19"/>
              </w:rPr>
              <w:t xml:space="preserve">Lead AI architect (theoretical modelling)</w:t>
            </w:r>
          </w:p>
        </w:tc>
        <w:tc>
          <w:tcPr>
            <w:tcW w:type="dxa" w:w="3983"/>
          </w:tcPr>
          <w:p>
            <w:pPr>
              <w:pStyle w:val="Compact"/>
              <w:spacing w:line="240" w:lineRule="auto" w:after="40"/>
              <w:jc w:val="left"/>
            </w:pPr>
            <w:r>
              <w:rPr>
                <w:sz w:val="19"/>
              </w:rPr>
              <w:t>• Projection-moment analysis of what DTS can measure</w:t>
            </w:r>
          </w:p>
          <w:p>
            <w:pPr>
              <w:spacing w:line="240" w:lineRule="auto" w:after="40"/>
            </w:pPr>
            <w:r>
              <w:rPr>
                <w:sz w:val="19"/>
              </w:rPr>
              <w:t>• Design and mathematical formulation of the conditional diffusion prior (v-prediction, cosine schedule, DDIM sampling)</w:t>
            </w:r>
          </w:p>
          <w:p>
            <w:pPr>
              <w:spacing w:line="240" w:lineRule="auto" w:after="40"/>
            </w:pPr>
            <w:r>
              <w:rPr>
                <w:sz w:val="19"/>
              </w:rPr>
              <w:t>• SIRT data-consistency sampling to suppress anatomical hallucination</w:t>
            </w:r>
          </w:p>
          <w:p>
            <w:pPr>
              <w:spacing w:line="240" w:lineRule="auto" w:after="40"/>
            </w:pPr>
            <w:r>
              <w:rPr>
                <w:sz w:val="19"/>
              </w:rPr>
              <w:t>• Conformal intervals and calibrated category probabilities</w:t>
            </w:r>
          </w:p>
        </w:tc>
      </w:tr>
      <w:tr>
        <w:tc>
          <w:tcPr>
            <w:tcW w:type="dxa" w:w="2058"/>
          </w:tcPr>
          <w:p>
            <w:pPr>
              <w:pStyle w:val="Compact"/>
              <w:spacing w:line="240" w:lineRule="auto" w:after="40"/>
              <w:jc w:val="left"/>
            </w:pPr>
            <w:r>
              <w:rPr>
                <w:sz w:val="19"/>
              </w:rPr>
              <w:t xml:space="preserve">Foyez Ahammed Naeem (011222011)</w:t>
            </w:r>
          </w:p>
        </w:tc>
        <w:tc>
          <w:tcPr>
            <w:tcW w:type="dxa" w:w="2988"/>
          </w:tcPr>
          <w:p>
            <w:pPr>
              <w:pStyle w:val="Compact"/>
              <w:spacing w:line="240" w:lineRule="auto" w:after="40"/>
              <w:jc w:val="left"/>
            </w:pPr>
            <w:r>
              <w:rPr>
                <w:sz w:val="19"/>
              </w:rPr>
              <w:t xml:space="preserve">Systems engineer (optimisation and backend)</w:t>
            </w:r>
          </w:p>
        </w:tc>
        <w:tc>
          <w:tcPr>
            <w:tcW w:type="dxa" w:w="3983"/>
          </w:tcPr>
          <w:p>
            <w:pPr>
              <w:pStyle w:val="Compact"/>
              <w:spacing w:line="240" w:lineRule="auto" w:after="40"/>
              <w:jc w:val="left"/>
            </w:pPr>
            <w:r>
              <w:rPr>
                <w:sz w:val="19"/>
              </w:rPr>
              <w:t>• Differentiable DTS projector and memory-efficient prism reconstruction</w:t>
            </w:r>
          </w:p>
          <w:p>
            <w:pPr>
              <w:spacing w:line="240" w:lineRule="auto" w:after="40"/>
            </w:pPr>
            <w:r>
              <w:rPr>
                <w:sz w:val="19"/>
              </w:rPr>
              <w:t>• GPU optimisation of training and sampling (mixed precision, batch sizing)</w:t>
            </w:r>
          </w:p>
          <w:p>
            <w:pPr>
              <w:spacing w:line="240" w:lineRule="auto" w:after="40"/>
            </w:pPr>
            <w:r>
              <w:rPr>
                <w:sz w:val="19"/>
              </w:rPr>
              <w:t>• 3D Gaussian fitting and closed-form mass; nodule detector training</w:t>
            </w:r>
          </w:p>
          <w:p>
            <w:pPr>
              <w:spacing w:line="240" w:lineRule="auto" w:after="40"/>
            </w:pPr>
            <w:r>
              <w:rPr>
                <w:sz w:val="19"/>
              </w:rPr>
              <w:t>• Cloud infrastructure (RunPod CPU and GPU pods, Kaggle), the full run and backups</w:t>
            </w:r>
          </w:p>
        </w:tc>
      </w:tr>
      <w:tr>
        <w:tc>
          <w:tcPr>
            <w:tcW w:type="dxa" w:w="2058"/>
          </w:tcPr>
          <w:p>
            <w:pPr>
              <w:pStyle w:val="Compact"/>
              <w:spacing w:line="240" w:lineRule="auto" w:after="40"/>
              <w:jc w:val="left"/>
            </w:pPr>
            <w:r>
              <w:rPr>
                <w:sz w:val="19"/>
              </w:rPr>
              <w:t xml:space="preserve">Md Motasim Billah (011222016)</w:t>
            </w:r>
          </w:p>
        </w:tc>
        <w:tc>
          <w:tcPr>
            <w:tcW w:type="dxa" w:w="2988"/>
          </w:tcPr>
          <w:p>
            <w:pPr>
              <w:pStyle w:val="Compact"/>
              <w:spacing w:line="240" w:lineRule="auto" w:after="40"/>
              <w:jc w:val="left"/>
            </w:pPr>
            <w:r>
              <w:rPr>
                <w:sz w:val="19"/>
              </w:rPr>
              <w:t xml:space="preserve">Full-stack developer (data and visualisation)</w:t>
            </w:r>
          </w:p>
        </w:tc>
        <w:tc>
          <w:tcPr>
            <w:tcW w:type="dxa" w:w="3983"/>
          </w:tcPr>
          <w:p>
            <w:pPr>
              <w:pStyle w:val="Compact"/>
              <w:spacing w:line="240" w:lineRule="auto" w:after="40"/>
              <w:jc w:val="left"/>
            </w:pPr>
            <w:r>
              <w:rPr>
                <w:sz w:val="19"/>
              </w:rPr>
              <w:t>• Data curation and preprocessing of LIDC-IDRI (selection, consensus masks, DTS simulation inputs)</w:t>
            </w:r>
          </w:p>
          <w:p>
            <w:pPr>
              <w:spacing w:line="240" w:lineRule="auto" w:after="40"/>
            </w:pPr>
            <w:r>
              <w:rPr>
                <w:sz w:val="19"/>
              </w:rPr>
              <w:t>• Clinician-facing click-to-3D interface with interactive 3D visualisation</w:t>
            </w:r>
          </w:p>
          <w:p>
            <w:pPr>
              <w:spacing w:line="240" w:lineRule="auto" w:after="40"/>
            </w:pPr>
            <w:r>
              <w:rPr>
                <w:sz w:val="19"/>
              </w:rPr>
              <w:t>• Automated evaluation pipelines: accuracy, growth and explainability outputs, HTML report</w:t>
            </w:r>
          </w:p>
        </w:tc>
      </w:tr>
      <w:tr>
        <w:tc>
          <w:tcPr>
            <w:tcW w:type="dxa" w:w="2058"/>
          </w:tcPr>
          <w:p>
            <w:pPr>
              <w:pStyle w:val="Compact"/>
              <w:spacing w:line="240" w:lineRule="auto" w:after="40"/>
              <w:jc w:val="left"/>
            </w:pPr>
            <w:r>
              <w:rPr>
                <w:sz w:val="19"/>
              </w:rPr>
              <w:t xml:space="preserve">All members</w:t>
            </w:r>
          </w:p>
        </w:tc>
        <w:tc>
          <w:tcPr>
            <w:tcW w:type="dxa" w:w="2988"/>
          </w:tcPr>
          <w:p>
            <w:pPr>
              <w:pStyle w:val="Compact"/>
              <w:spacing w:line="240" w:lineRule="auto" w:after="40"/>
              <w:jc w:val="left"/>
            </w:pPr>
            <w:r>
              <w:rPr>
                <w:sz w:val="19"/>
              </w:rPr>
              <w:t xml:space="preserve">–</w:t>
            </w:r>
          </w:p>
        </w:tc>
        <w:tc>
          <w:tcPr>
            <w:tcW w:type="dxa" w:w="3983"/>
          </w:tcPr>
          <w:p>
            <w:pPr>
              <w:pStyle w:val="Compact"/>
              <w:spacing w:line="240" w:lineRule="auto" w:after="40"/>
              <w:jc w:val="left"/>
            </w:pPr>
            <w:r>
              <w:rPr>
                <w:sz w:val="19"/>
              </w:rPr>
              <w:t xml:space="preserve">Literature review, verification of every PASS/FAIL step, report writing and presentation</w:t>
            </w:r>
          </w:p>
        </w:tc>
      </w:tr>
    </w:tbl>
    <w:bookmarkEnd w:id="96"/>
    <w:bookmarkStart w:id="97" w:name="summary-1"/>
    <w:p>
      <w:pPr>
        <w:pStyle w:val="Heading2"/>
      </w:pPr>
      <w:r>
        <w:t xml:space="preserve">3.5 Summary</w:t>
      </w:r>
    </w:p>
    <w:p>
      <w:pPr>
        <w:pStyle w:val="FirstParagraph"/>
      </w:pPr>
      <w:r>
        <w:t xml:space="preserve">The requirements were elicited from guidelines, the supervisor and published limits, negotiated where they conflicted, and specified with measurable acceptance criteria. The design measures mass first, reconstructs a prism around the click, fills depth with a data-consistent diffusion prior, measures with Gaussians, and calibrates and explains every number. Chapter 4 verifies each requirement.</w:t>
      </w:r>
    </w:p>
    <w:bookmarkEnd w:id="97"/>
    <w:bookmarkEnd w:id="98"/>
    <w:bookmarkStart w:id="193" w:name="chapter-4-implementation-and-results"/>
    <w:p>
      <w:pPr>
        <w:pStyle w:val="Heading1"/>
      </w:pPr>
      <w:r>
        <w:t xml:space="preserve">Chapter 4: Implementation and Results</w:t>
      </w:r>
    </w:p>
    <w:p>
      <w:pPr>
        <w:pStyle w:val="FirstParagraph"/>
      </w:pPr>
      <w:r>
        <w:t xml:space="preserve">This chapter describes the hardware and tools, how every requirement was verified, and the results for hypotheses H1–H6. All numbers come from the full run of October 27, 2026 on held-out test patients unless stated otherwise.</w:t>
      </w:r>
    </w:p>
    <w:bookmarkStart w:id="118" w:name="environment-setup"/>
    <w:p>
      <w:pPr>
        <w:pStyle w:val="Heading2"/>
      </w:pPr>
      <w:r>
        <w:t xml:space="preserve">4.1 Environment Setup</w:t>
      </w:r>
    </w:p>
    <w:p>
      <w:pPr>
        <w:pStyle w:val="FirstParagraph"/>
      </w:pPr>
      <w:r>
        <w:t xml:space="preserve">This section describes the hardware, the software tools with the reasons for choosing them, the configuration of the pipeline, and the dataset with its preprocessing.</w:t>
      </w:r>
    </w:p>
    <w:bookmarkStart w:id="99" w:name="hardware"/>
    <w:p>
      <w:pPr>
        <w:pStyle w:val="Heading3"/>
      </w:pPr>
      <w:r>
        <w:t xml:space="preserve">4.1.1 Hardware</w:t>
      </w:r>
    </w:p>
    <w:p>
      <w:pPr>
        <w:pStyle w:val="FirstParagraph"/>
      </w:pPr>
      <w:r>
        <w:t xml:space="preserve">Table 4.1 lists the computing resources. CPU-only work (downloading about 64 GB of CT and building the cases) ran on a cheap CPU machine, and both machines shared one network volume so that the GPU machine started from the finished cases.</w:t>
      </w:r>
    </w:p>
    <w:p>
      <w:pPr>
        <w:pStyle w:val="BodyText"/>
        <w:jc w:val="center"/>
      </w:pPr>
      <w:r>
        <w:rPr>
          <w:bCs/>
          <w:b/>
          <w:iCs/>
          <w:i/>
          <w:sz w:val="20"/>
        </w:rPr>
        <w:t xml:space="preserve">Table 4.1:</w:t>
      </w:r>
      <w:r>
        <w:rPr>
          <w:iCs/>
          <w:i/>
          <w:sz w:val="20"/>
        </w:rPr>
        <w:t xml:space="preserve"> </w:t>
      </w:r>
      <w:r>
        <w:rPr>
          <w:iCs/>
          <w:i/>
          <w:sz w:val="20"/>
        </w:rPr>
        <w:t xml:space="preserve">Computing resources.</w:t>
      </w:r>
    </w:p>
    <w:tbl>
      <w:tblPr>
        <w:tblStyle w:val="Table"/>
        <w:tblW w:type="auto" w:w="0"/>
        <w:tblLook w:firstRow="1" w:lastRow="0" w:firstColumn="0" w:lastColumn="0" w:noHBand="0" w:noVBand="0" w:val="0020"/>
        <w:jc w:val="start"/>
        <w:tblBorders>
          <w:top w:val="single" w:sz="12" w:color="000000"/>
          <w:bottom w:val="single" w:sz="12" w:color="000000"/>
          <w:insideH w:val="single" w:sz="6" w:color="808080"/>
        </w:tblBorders>
      </w:tblPr>
      <w:tblGrid>
        <w:gridCol w:w="1631"/>
        <w:gridCol w:w="4662"/>
        <w:gridCol w:w="1616"/>
        <w:gridCol w:w="1118"/>
      </w:tblGrid>
      <w:tr>
        <w:trPr>
          <w:tblHeader w:val="true"/>
        </w:trPr>
        <w:tc>
          <w:tcPr>
            <w:tcW w:type="dxa" w:w="1632"/>
          </w:tcPr>
          <w:p>
            <w:pPr>
              <w:pStyle w:val="Compact"/>
              <w:spacing w:line="240" w:lineRule="auto" w:after="40"/>
              <w:jc w:val="left"/>
            </w:pPr>
            <w:r>
              <w:rPr>
                <w:b/>
                <w:sz w:val="19"/>
              </w:rPr>
              <w:t xml:space="preserve">Resource</w:t>
            </w:r>
          </w:p>
        </w:tc>
        <w:tc>
          <w:tcPr>
            <w:tcW w:type="dxa" w:w="4662"/>
          </w:tcPr>
          <w:p>
            <w:pPr>
              <w:pStyle w:val="Compact"/>
              <w:spacing w:line="240" w:lineRule="auto" w:after="40"/>
              <w:jc w:val="left"/>
            </w:pPr>
            <w:r>
              <w:rPr>
                <w:b/>
                <w:sz w:val="19"/>
              </w:rPr>
              <w:t xml:space="preserve">Used for</w:t>
            </w:r>
          </w:p>
        </w:tc>
        <w:tc>
          <w:tcPr>
            <w:tcW w:type="dxa" w:w="1616"/>
          </w:tcPr>
          <w:p>
            <w:pPr>
              <w:pStyle w:val="Compact"/>
              <w:spacing w:line="240" w:lineRule="auto" w:after="40"/>
              <w:jc w:val="left"/>
            </w:pPr>
            <w:r>
              <w:rPr>
                <w:b/>
                <w:sz w:val="19"/>
              </w:rPr>
              <w:t xml:space="preserve">Specification</w:t>
            </w:r>
          </w:p>
        </w:tc>
        <w:tc>
          <w:tcPr>
            <w:tcW w:type="dxa" w:w="1119"/>
          </w:tcPr>
          <w:p>
            <w:pPr>
              <w:pStyle w:val="Compact"/>
              <w:spacing w:line="240" w:lineRule="auto" w:after="40"/>
              <w:jc w:val="left"/>
            </w:pPr>
            <w:r>
              <w:rPr>
                <w:b/>
                <w:sz w:val="19"/>
              </w:rPr>
              <w:t xml:space="preserve">Cost</w:t>
            </w:r>
          </w:p>
        </w:tc>
      </w:tr>
      <w:tr>
        <w:tc>
          <w:tcPr>
            <w:tcW w:type="dxa" w:w="1632"/>
          </w:tcPr>
          <w:p>
            <w:pPr>
              <w:pStyle w:val="Compact"/>
              <w:spacing w:line="240" w:lineRule="auto" w:after="40"/>
              <w:jc w:val="left"/>
            </w:pPr>
            <w:r>
              <w:rPr>
                <w:sz w:val="19"/>
              </w:rPr>
              <w:t xml:space="preserve">Laptop / Kaggle CPU</w:t>
            </w:r>
          </w:p>
        </w:tc>
        <w:tc>
          <w:tcPr>
            <w:tcW w:type="dxa" w:w="4662"/>
          </w:tcPr>
          <w:p>
            <w:pPr>
              <w:pStyle w:val="Compact"/>
              <w:spacing w:line="240" w:lineRule="auto" w:after="40"/>
              <w:jc w:val="left"/>
            </w:pPr>
            <w:r>
              <w:rPr>
                <w:sz w:val="19"/>
              </w:rPr>
              <w:t xml:space="preserve">Unit tests; synthetic-phantom smoke test</w:t>
            </w:r>
          </w:p>
        </w:tc>
        <w:tc>
          <w:tcPr>
            <w:tcW w:type="dxa" w:w="1616"/>
          </w:tcPr>
          <w:p>
            <w:pPr>
              <w:pStyle w:val="Compact"/>
              <w:spacing w:line="240" w:lineRule="auto" w:after="40"/>
              <w:jc w:val="left"/>
            </w:pPr>
            <w:r>
              <w:rPr>
                <w:sz w:val="19"/>
              </w:rPr>
              <w:t xml:space="preserve">4 cores</w:t>
            </w:r>
          </w:p>
        </w:tc>
        <w:tc>
          <w:tcPr>
            <w:tcW w:type="dxa" w:w="1119"/>
          </w:tcPr>
          <w:p>
            <w:pPr>
              <w:pStyle w:val="Compact"/>
              <w:spacing w:line="240" w:lineRule="auto" w:after="40"/>
              <w:jc w:val="left"/>
            </w:pPr>
            <w:r>
              <w:rPr>
                <w:sz w:val="19"/>
              </w:rPr>
              <w:t xml:space="preserve">Free</w:t>
            </w:r>
          </w:p>
        </w:tc>
      </w:tr>
      <w:tr>
        <w:tc>
          <w:tcPr>
            <w:tcW w:type="dxa" w:w="1632"/>
          </w:tcPr>
          <w:p>
            <w:pPr>
              <w:pStyle w:val="Compact"/>
              <w:spacing w:line="240" w:lineRule="auto" w:after="40"/>
              <w:jc w:val="left"/>
            </w:pPr>
            <w:r>
              <w:rPr>
                <w:sz w:val="19"/>
              </w:rPr>
              <w:t xml:space="preserve">Kaggle notebook</w:t>
            </w:r>
          </w:p>
        </w:tc>
        <w:tc>
          <w:tcPr>
            <w:tcW w:type="dxa" w:w="4662"/>
          </w:tcPr>
          <w:p>
            <w:pPr>
              <w:pStyle w:val="Compact"/>
              <w:spacing w:line="240" w:lineRule="auto" w:after="40"/>
              <w:jc w:val="left"/>
            </w:pPr>
            <w:r>
              <w:rPr>
                <w:sz w:val="19"/>
              </w:rPr>
              <w:t xml:space="preserve">40-patient pilot run; final demo and report viewer</w:t>
            </w:r>
          </w:p>
        </w:tc>
        <w:tc>
          <w:tcPr>
            <w:tcW w:type="dxa" w:w="1616"/>
          </w:tcPr>
          <w:p>
            <w:pPr>
              <w:pStyle w:val="Compact"/>
              <w:spacing w:line="240" w:lineRule="auto" w:after="40"/>
              <w:jc w:val="left"/>
            </w:pPr>
            <m:oMath>
              <m:r>
                <m:t>2</m:t>
              </m:r>
              <m:r>
                <m:rPr>
                  <m:sty m:val="p"/>
                </m:rPr>
                <m:t>×</m:t>
              </m:r>
            </m:oMath>
            <w:r>
              <w:rPr>
                <w:sz w:val="19"/>
              </w:rPr>
              <w:t xml:space="preserve"> </w:t>
            </w:r>
            <w:r>
              <w:rPr>
                <w:sz w:val="19"/>
              </w:rPr>
              <w:t xml:space="preserve">NVIDIA T4, 16 GB</w:t>
            </w:r>
          </w:p>
        </w:tc>
        <w:tc>
          <w:tcPr>
            <w:tcW w:type="dxa" w:w="1119"/>
          </w:tcPr>
          <w:p>
            <w:pPr>
              <w:pStyle w:val="Compact"/>
              <w:spacing w:line="240" w:lineRule="auto" w:after="40"/>
              <w:jc w:val="left"/>
            </w:pPr>
            <w:r>
              <w:rPr>
                <w:sz w:val="19"/>
              </w:rPr>
              <w:t xml:space="preserve">Free</w:t>
            </w:r>
          </w:p>
        </w:tc>
      </w:tr>
      <w:tr>
        <w:tc>
          <w:tcPr>
            <w:tcW w:type="dxa" w:w="1632"/>
          </w:tcPr>
          <w:p>
            <w:pPr>
              <w:pStyle w:val="Compact"/>
              <w:spacing w:line="240" w:lineRule="auto" w:after="40"/>
              <w:jc w:val="left"/>
            </w:pPr>
            <w:r>
              <w:rPr>
                <w:sz w:val="19"/>
              </w:rPr>
              <w:t xml:space="preserve">RunPod CPU pod</w:t>
            </w:r>
          </w:p>
        </w:tc>
        <w:tc>
          <w:tcPr>
            <w:tcW w:type="dxa" w:w="4662"/>
          </w:tcPr>
          <w:p>
            <w:pPr>
              <w:pStyle w:val="Compact"/>
              <w:spacing w:line="240" w:lineRule="auto" w:after="40"/>
              <w:jc w:val="left"/>
            </w:pPr>
            <w:r>
              <w:rPr>
                <w:sz w:val="19"/>
              </w:rPr>
              <w:t xml:space="preserve">Steps 02–04: patient selection, TCIA download, case building</w:t>
            </w:r>
          </w:p>
        </w:tc>
        <w:tc>
          <w:tcPr>
            <w:tcW w:type="dxa" w:w="1616"/>
          </w:tcPr>
          <w:p>
            <w:pPr>
              <w:pStyle w:val="Compact"/>
              <w:spacing w:line="240" w:lineRule="auto" w:after="40"/>
              <w:jc w:val="left"/>
            </w:pPr>
            <w:r>
              <w:rPr>
                <w:sz w:val="19"/>
              </w:rPr>
              <w:t xml:space="preserve">Rented CPU</w:t>
            </w:r>
          </w:p>
        </w:tc>
        <w:tc>
          <w:tcPr>
            <w:tcW w:type="dxa" w:w="1119"/>
          </w:tcPr>
          <w:p>
            <w:pPr>
              <w:pStyle w:val="Compact"/>
              <w:spacing w:line="240" w:lineRule="auto" w:after="40"/>
              <w:jc w:val="left"/>
            </w:pPr>
            <m:oMath>
              <m:r>
                <m:rPr>
                  <m:sty m:val="p"/>
                </m:rPr>
                <m:t>&lt;</m:t>
              </m:r>
            </m:oMath>
            <w:r>
              <w:rPr>
                <w:sz w:val="19"/>
              </w:rPr>
              <w:t xml:space="preserve"> </w:t>
            </w:r>
            <w:r>
              <w:rPr>
                <w:sz w:val="19"/>
              </w:rPr>
              <w:t xml:space="preserve">US$2</w:t>
            </w:r>
          </w:p>
        </w:tc>
      </w:tr>
      <w:tr>
        <w:tc>
          <w:tcPr>
            <w:tcW w:type="dxa" w:w="1632"/>
          </w:tcPr>
          <w:p>
            <w:pPr>
              <w:pStyle w:val="Compact"/>
              <w:spacing w:line="240" w:lineRule="auto" w:after="40"/>
              <w:jc w:val="left"/>
            </w:pPr>
            <w:r>
              <w:rPr>
                <w:sz w:val="19"/>
              </w:rPr>
              <w:t xml:space="preserve">RunPod GPU pod</w:t>
            </w:r>
          </w:p>
        </w:tc>
        <w:tc>
          <w:tcPr>
            <w:tcW w:type="dxa" w:w="4662"/>
          </w:tcPr>
          <w:p>
            <w:pPr>
              <w:pStyle w:val="Compact"/>
              <w:spacing w:line="240" w:lineRule="auto" w:after="40"/>
              <w:jc w:val="left"/>
            </w:pPr>
            <w:r>
              <w:rPr>
                <w:sz w:val="19"/>
              </w:rPr>
              <w:t xml:space="preserve">Steps 05–18: simulation, training, evaluation</w:t>
            </w:r>
          </w:p>
        </w:tc>
        <w:tc>
          <w:tcPr>
            <w:tcW w:type="dxa" w:w="1616"/>
          </w:tcPr>
          <w:p>
            <w:pPr>
              <w:pStyle w:val="Compact"/>
              <w:spacing w:line="240" w:lineRule="auto" w:after="40"/>
              <w:jc w:val="left"/>
            </w:pPr>
            <w:r>
              <w:rPr>
                <w:sz w:val="19"/>
              </w:rPr>
              <w:t xml:space="preserve">NVIDIA L40S, 48 GB</w:t>
            </w:r>
          </w:p>
        </w:tc>
        <w:tc>
          <w:tcPr>
            <w:tcW w:type="dxa" w:w="1119"/>
          </w:tcPr>
          <w:p>
            <w:pPr>
              <w:pStyle w:val="Compact"/>
              <w:spacing w:line="240" w:lineRule="auto" w:after="40"/>
              <w:jc w:val="left"/>
            </w:pPr>
            <w:r>
              <w:rPr>
                <w:sz w:val="19"/>
              </w:rPr>
              <w:t xml:space="preserve">US$1.33/h</w:t>
            </w:r>
          </w:p>
        </w:tc>
      </w:tr>
      <w:tr>
        <w:tc>
          <w:tcPr>
            <w:tcW w:type="dxa" w:w="1632"/>
          </w:tcPr>
          <w:p>
            <w:pPr>
              <w:pStyle w:val="Compact"/>
              <w:spacing w:line="240" w:lineRule="auto" w:after="40"/>
              <w:jc w:val="left"/>
            </w:pPr>
            <w:r>
              <w:rPr>
                <w:sz w:val="19"/>
              </w:rPr>
              <w:t xml:space="preserve">RunPod network volume</w:t>
            </w:r>
          </w:p>
        </w:tc>
        <w:tc>
          <w:tcPr>
            <w:tcW w:type="dxa" w:w="4662"/>
          </w:tcPr>
          <w:p>
            <w:pPr>
              <w:pStyle w:val="Compact"/>
              <w:spacing w:line="240" w:lineRule="auto" w:after="40"/>
              <w:jc w:val="left"/>
            </w:pPr>
            <w:r>
              <w:rPr>
                <w:sz w:val="19"/>
              </w:rPr>
              <w:t xml:space="preserve">Shared storage between pods; backup after every step</w:t>
            </w:r>
          </w:p>
        </w:tc>
        <w:tc>
          <w:tcPr>
            <w:tcW w:type="dxa" w:w="1616"/>
          </w:tcPr>
          <w:p>
            <w:pPr>
              <w:pStyle w:val="Compact"/>
              <w:spacing w:line="240" w:lineRule="auto" w:after="40"/>
              <w:jc w:val="left"/>
            </w:pPr>
            <w:r>
              <w:rPr>
                <w:sz w:val="19"/>
              </w:rPr>
              <w:t xml:space="preserve">Persistent volume</w:t>
            </w:r>
          </w:p>
        </w:tc>
        <w:tc>
          <w:tcPr>
            <w:tcW w:type="dxa" w:w="1119"/>
          </w:tcPr>
          <w:p>
            <w:pPr>
              <w:pStyle w:val="Compact"/>
              <w:spacing w:line="240" w:lineRule="auto" w:after="40"/>
              <w:jc w:val="left"/>
            </w:pPr>
            <w:r>
              <w:rPr>
                <w:sz w:val="19"/>
              </w:rPr>
              <w:t xml:space="preserve">included</w:t>
            </w:r>
          </w:p>
        </w:tc>
      </w:tr>
    </w:tbl>
    <w:bookmarkEnd w:id="99"/>
    <w:bookmarkStart w:id="100" w:name="software-and-tools"/>
    <w:p>
      <w:pPr>
        <w:pStyle w:val="Heading3"/>
      </w:pPr>
      <w:r>
        <w:t xml:space="preserve">4.1.2 Software and Tools</w:t>
      </w:r>
    </w:p>
    <w:p>
      <w:pPr>
        <w:pStyle w:val="FirstParagraph"/>
      </w:pPr>
      <w:r>
        <w:t xml:space="preserve">All code is written in Python, the standard language of medical AI research. PyTorch was chosen because the whole chain (projector, SIRT, diffusion network, detector and Gaussian fitting) needs automatic differentiation on the GPU in one framework. Instead of an external tomography toolbox we wrote our own ray-driven DTS projector in PyTorch: it reproduces the exact linear-sweep geometry, provides gradients for the Gaussian refinement, and needs no separate CUDA build, which had caused installation problems with toolbox-based setups. LIDC-IDRI is read with pydicom and pylidc, the official tools for its annotations; conformal predictive systems use the peer-reviewed crepes library; and the application uses Gradio, which builds a browser interface directly from Python. Table 4.2 lists the tools with the alternatives considered.</w:t>
      </w:r>
    </w:p>
    <w:p>
      <w:pPr>
        <w:pStyle w:val="BodyText"/>
        <w:jc w:val="center"/>
      </w:pPr>
      <w:r>
        <w:rPr>
          <w:bCs/>
          <w:b/>
          <w:iCs/>
          <w:i/>
          <w:sz w:val="20"/>
        </w:rPr>
        <w:t xml:space="preserve">Table 4.2:</w:t>
      </w:r>
      <w:r>
        <w:rPr>
          <w:iCs/>
          <w:i/>
          <w:sz w:val="20"/>
        </w:rPr>
        <w:t xml:space="preserve"> </w:t>
      </w:r>
      <w:r>
        <w:rPr>
          <w:iCs/>
          <w:i/>
          <w:sz w:val="20"/>
        </w:rPr>
        <w:t xml:space="preserve">Software tools and the reasons for choosing them.</w:t>
      </w:r>
    </w:p>
    <w:tbl>
      <w:tblPr>
        <w:tblStyle w:val="Table"/>
        <w:tblW w:type="auto" w:w="0"/>
        <w:tblLook w:firstRow="1" w:lastRow="0" w:firstColumn="0" w:lastColumn="0" w:noHBand="0" w:noVBand="0" w:val="0020"/>
        <w:jc w:val="start"/>
        <w:tblBorders>
          <w:top w:val="single" w:sz="12" w:color="000000"/>
          <w:bottom w:val="single" w:sz="12" w:color="000000"/>
          <w:insideH w:val="single" w:sz="6" w:color="808080"/>
        </w:tblBorders>
      </w:tblPr>
      <w:tblGrid>
        <w:gridCol w:w="1993"/>
        <w:gridCol w:w="3517"/>
        <w:gridCol w:w="3517"/>
      </w:tblGrid>
      <w:tr>
        <w:trPr>
          <w:tblHeader w:val="true"/>
        </w:trPr>
        <w:tc>
          <w:tcPr>
            <w:tcW w:type="dxa" w:w="1993"/>
          </w:tcPr>
          <w:p>
            <w:pPr>
              <w:pStyle w:val="Compact"/>
              <w:spacing w:line="240" w:lineRule="auto" w:after="40"/>
              <w:jc w:val="left"/>
            </w:pPr>
            <w:r>
              <w:rPr>
                <w:b/>
                <w:sz w:val="19"/>
              </w:rPr>
              <w:t xml:space="preserve">Tool</w:t>
            </w:r>
          </w:p>
        </w:tc>
        <w:tc>
          <w:tcPr>
            <w:tcW w:type="dxa" w:w="3518"/>
          </w:tcPr>
          <w:p>
            <w:pPr>
              <w:pStyle w:val="Compact"/>
              <w:spacing w:line="240" w:lineRule="auto" w:after="40"/>
              <w:jc w:val="left"/>
            </w:pPr>
            <w:r>
              <w:rPr>
                <w:b/>
                <w:sz w:val="19"/>
              </w:rPr>
              <w:t xml:space="preserve">Role</w:t>
            </w:r>
          </w:p>
        </w:tc>
        <w:tc>
          <w:tcPr>
            <w:tcW w:type="dxa" w:w="3518"/>
          </w:tcPr>
          <w:p>
            <w:pPr>
              <w:pStyle w:val="Compact"/>
              <w:spacing w:line="240" w:lineRule="auto" w:after="40"/>
              <w:jc w:val="left"/>
            </w:pPr>
            <w:r>
              <w:rPr>
                <w:b/>
                <w:sz w:val="19"/>
              </w:rPr>
              <w:t xml:space="preserve">Why chosen (alternative)</w:t>
            </w:r>
          </w:p>
        </w:tc>
      </w:tr>
      <w:tr>
        <w:tc>
          <w:tcPr>
            <w:tcW w:type="dxa" w:w="1993"/>
          </w:tcPr>
          <w:p>
            <w:pPr>
              <w:pStyle w:val="Compact"/>
              <w:spacing w:line="240" w:lineRule="auto" w:after="40"/>
              <w:jc w:val="left"/>
            </w:pPr>
            <w:r>
              <w:rPr>
                <w:sz w:val="19"/>
              </w:rPr>
              <w:t xml:space="preserve">Python 3.11+</w:t>
            </w:r>
          </w:p>
        </w:tc>
        <w:tc>
          <w:tcPr>
            <w:tcW w:type="dxa" w:w="3518"/>
          </w:tcPr>
          <w:p>
            <w:pPr>
              <w:pStyle w:val="Compact"/>
              <w:spacing w:line="240" w:lineRule="auto" w:after="40"/>
              <w:jc w:val="left"/>
            </w:pPr>
            <w:r>
              <w:rPr>
                <w:sz w:val="19"/>
              </w:rPr>
              <w:t xml:space="preserve">All code</w:t>
            </w:r>
          </w:p>
        </w:tc>
        <w:tc>
          <w:tcPr>
            <w:tcW w:type="dxa" w:w="3518"/>
          </w:tcPr>
          <w:p>
            <w:pPr>
              <w:pStyle w:val="Compact"/>
              <w:spacing w:line="240" w:lineRule="auto" w:after="40"/>
              <w:jc w:val="left"/>
            </w:pPr>
            <w:r>
              <w:rPr>
                <w:sz w:val="19"/>
              </w:rPr>
              <w:t xml:space="preserve">Standard for medical AI (MATLAB: licence cost)</w:t>
            </w:r>
          </w:p>
        </w:tc>
      </w:tr>
      <w:tr>
        <w:tc>
          <w:tcPr>
            <w:tcW w:type="dxa" w:w="1993"/>
          </w:tcPr>
          <w:p>
            <w:pPr>
              <w:pStyle w:val="Compact"/>
              <w:spacing w:line="240" w:lineRule="auto" w:after="40"/>
              <w:jc w:val="left"/>
            </w:pPr>
            <w:r>
              <w:rPr>
                <w:sz w:val="19"/>
              </w:rPr>
              <w:t xml:space="preserve">PyTorch 2.x</w:t>
            </w:r>
          </w:p>
        </w:tc>
        <w:tc>
          <w:tcPr>
            <w:tcW w:type="dxa" w:w="3518"/>
          </w:tcPr>
          <w:p>
            <w:pPr>
              <w:pStyle w:val="Compact"/>
              <w:spacing w:line="240" w:lineRule="auto" w:after="40"/>
              <w:jc w:val="left"/>
            </w:pPr>
            <w:r>
              <w:rPr>
                <w:sz w:val="19"/>
              </w:rPr>
              <w:t xml:space="preserve">Projector, diffusion U-Net, detector, Gaussians; bf16 mixed precision</w:t>
            </w:r>
          </w:p>
        </w:tc>
        <w:tc>
          <w:tcPr>
            <w:tcW w:type="dxa" w:w="3518"/>
          </w:tcPr>
          <w:p>
            <w:pPr>
              <w:pStyle w:val="Compact"/>
              <w:spacing w:line="240" w:lineRule="auto" w:after="40"/>
              <w:jc w:val="left"/>
            </w:pPr>
            <w:r>
              <w:rPr>
                <w:sz w:val="19"/>
              </w:rPr>
              <w:t xml:space="preserve">Differentiable physics and models in one framework</w:t>
            </w:r>
          </w:p>
        </w:tc>
      </w:tr>
      <w:tr>
        <w:tc>
          <w:tcPr>
            <w:tcW w:type="dxa" w:w="1993"/>
          </w:tcPr>
          <w:p>
            <w:pPr>
              <w:pStyle w:val="Compact"/>
              <w:spacing w:line="240" w:lineRule="auto" w:after="40"/>
              <w:jc w:val="left"/>
            </w:pPr>
            <w:r>
              <w:rPr>
                <w:sz w:val="19"/>
              </w:rPr>
              <w:t xml:space="preserve">Own ray-driven projector (PyTorch)</w:t>
            </w:r>
          </w:p>
        </w:tc>
        <w:tc>
          <w:tcPr>
            <w:tcW w:type="dxa" w:w="3518"/>
          </w:tcPr>
          <w:p>
            <w:pPr>
              <w:pStyle w:val="Compact"/>
              <w:spacing w:line="240" w:lineRule="auto" w:after="40"/>
              <w:jc w:val="left"/>
            </w:pPr>
            <w:r>
              <w:rPr>
                <w:sz w:val="19"/>
              </w:rPr>
              <w:t xml:space="preserve">DTS forward and back projection with gradients</w:t>
            </w:r>
          </w:p>
        </w:tc>
        <w:tc>
          <w:tcPr>
            <w:tcW w:type="dxa" w:w="3518"/>
          </w:tcPr>
          <w:p>
            <w:pPr>
              <w:pStyle w:val="Compact"/>
              <w:spacing w:line="240" w:lineRule="auto" w:after="40"/>
              <w:jc w:val="left"/>
            </w:pPr>
            <w:r>
              <w:rPr>
                <w:sz w:val="19"/>
              </w:rPr>
              <w:t xml:space="preserve">Exact DTS geometry, differentiable, no CUDA build (ASTRA: separate build, no autograd)</w:t>
            </w:r>
          </w:p>
        </w:tc>
      </w:tr>
      <w:tr>
        <w:tc>
          <w:tcPr>
            <w:tcW w:type="dxa" w:w="1993"/>
          </w:tcPr>
          <w:p>
            <w:pPr>
              <w:pStyle w:val="Compact"/>
              <w:spacing w:line="240" w:lineRule="auto" w:after="40"/>
              <w:jc w:val="left"/>
            </w:pPr>
            <w:r>
              <w:rPr>
                <w:sz w:val="19"/>
              </w:rPr>
              <w:t xml:space="preserve">pydicom, pylidc</w:t>
            </w:r>
          </w:p>
        </w:tc>
        <w:tc>
          <w:tcPr>
            <w:tcW w:type="dxa" w:w="3518"/>
          </w:tcPr>
          <w:p>
            <w:pPr>
              <w:pStyle w:val="Compact"/>
              <w:spacing w:line="240" w:lineRule="auto" w:after="40"/>
              <w:jc w:val="left"/>
            </w:pPr>
            <w:r>
              <w:rPr>
                <w:sz w:val="19"/>
              </w:rPr>
              <w:t xml:space="preserve">LIDC DICOM and the four radiologists’ annotations</w:t>
            </w:r>
          </w:p>
        </w:tc>
        <w:tc>
          <w:tcPr>
            <w:tcW w:type="dxa" w:w="3518"/>
          </w:tcPr>
          <w:p>
            <w:pPr>
              <w:pStyle w:val="Compact"/>
              <w:spacing w:line="240" w:lineRule="auto" w:after="40"/>
              <w:jc w:val="left"/>
            </w:pPr>
            <w:r>
              <w:rPr>
                <w:sz w:val="19"/>
              </w:rPr>
              <w:t xml:space="preserve">Official annotation access</w:t>
            </w:r>
          </w:p>
        </w:tc>
      </w:tr>
      <w:tr>
        <w:tc>
          <w:tcPr>
            <w:tcW w:type="dxa" w:w="1993"/>
          </w:tcPr>
          <w:p>
            <w:pPr>
              <w:pStyle w:val="Compact"/>
              <w:spacing w:line="240" w:lineRule="auto" w:after="40"/>
              <w:jc w:val="left"/>
            </w:pPr>
            <w:r>
              <w:rPr>
                <w:sz w:val="19"/>
              </w:rPr>
              <w:t xml:space="preserve">NumPy, SciPy, scikit-image</w:t>
            </w:r>
          </w:p>
        </w:tc>
        <w:tc>
          <w:tcPr>
            <w:tcW w:type="dxa" w:w="3518"/>
          </w:tcPr>
          <w:p>
            <w:pPr>
              <w:pStyle w:val="Compact"/>
              <w:spacing w:line="240" w:lineRule="auto" w:after="40"/>
              <w:jc w:val="left"/>
            </w:pPr>
            <w:r>
              <w:rPr>
                <w:sz w:val="19"/>
              </w:rPr>
              <w:t xml:space="preserve">Morphology, segmentation, metrics</w:t>
            </w:r>
          </w:p>
        </w:tc>
        <w:tc>
          <w:tcPr>
            <w:tcW w:type="dxa" w:w="3518"/>
          </w:tcPr>
          <w:p>
            <w:pPr>
              <w:pStyle w:val="Compact"/>
              <w:spacing w:line="240" w:lineRule="auto" w:after="40"/>
              <w:jc w:val="left"/>
            </w:pPr>
            <w:r>
              <w:rPr>
                <w:sz w:val="19"/>
              </w:rPr>
              <w:t xml:space="preserve">Mature and tested</w:t>
            </w:r>
          </w:p>
        </w:tc>
      </w:tr>
      <w:tr>
        <w:tc>
          <w:tcPr>
            <w:tcW w:type="dxa" w:w="1993"/>
          </w:tcPr>
          <w:p>
            <w:pPr>
              <w:pStyle w:val="Compact"/>
              <w:spacing w:line="240" w:lineRule="auto" w:after="40"/>
              <w:jc w:val="left"/>
            </w:pPr>
            <w:r>
              <w:rPr>
                <w:sz w:val="19"/>
              </w:rPr>
              <w:t xml:space="preserve">crepes, scikit-learn</w:t>
            </w:r>
          </w:p>
        </w:tc>
        <w:tc>
          <w:tcPr>
            <w:tcW w:type="dxa" w:w="3518"/>
          </w:tcPr>
          <w:p>
            <w:pPr>
              <w:pStyle w:val="Compact"/>
              <w:spacing w:line="240" w:lineRule="auto" w:after="40"/>
              <w:jc w:val="left"/>
            </w:pPr>
            <w:r>
              <w:rPr>
                <w:sz w:val="19"/>
              </w:rPr>
              <w:t xml:space="preserve">Conformal predictive systems; calibration metrics</w:t>
            </w:r>
          </w:p>
        </w:tc>
        <w:tc>
          <w:tcPr>
            <w:tcW w:type="dxa" w:w="3518"/>
          </w:tcPr>
          <w:p>
            <w:pPr>
              <w:pStyle w:val="Compact"/>
              <w:spacing w:line="240" w:lineRule="auto" w:after="40"/>
              <w:jc w:val="left"/>
            </w:pPr>
            <w:r>
              <w:rPr>
                <w:sz w:val="19"/>
              </w:rPr>
              <w:t xml:space="preserve">Peer-reviewed implementation [29]</w:t>
            </w:r>
          </w:p>
        </w:tc>
      </w:tr>
      <w:tr>
        <w:tc>
          <w:tcPr>
            <w:tcW w:type="dxa" w:w="1993"/>
          </w:tcPr>
          <w:p>
            <w:pPr>
              <w:pStyle w:val="Compact"/>
              <w:spacing w:line="240" w:lineRule="auto" w:after="40"/>
              <w:jc w:val="left"/>
            </w:pPr>
            <w:r>
              <w:rPr>
                <w:sz w:val="19"/>
              </w:rPr>
              <w:t xml:space="preserve">Gradio</w:t>
            </w:r>
          </w:p>
        </w:tc>
        <w:tc>
          <w:tcPr>
            <w:tcW w:type="dxa" w:w="3518"/>
          </w:tcPr>
          <w:p>
            <w:pPr>
              <w:pStyle w:val="Compact"/>
              <w:spacing w:line="240" w:lineRule="auto" w:after="40"/>
              <w:jc w:val="left"/>
            </w:pPr>
            <w:r>
              <w:rPr>
                <w:sz w:val="19"/>
              </w:rPr>
              <w:t xml:space="preserve">Browser application</w:t>
            </w:r>
          </w:p>
        </w:tc>
        <w:tc>
          <w:tcPr>
            <w:tcW w:type="dxa" w:w="3518"/>
          </w:tcPr>
          <w:p>
            <w:pPr>
              <w:pStyle w:val="Compact"/>
              <w:spacing w:line="240" w:lineRule="auto" w:after="40"/>
              <w:jc w:val="left"/>
            </w:pPr>
            <w:r>
              <w:rPr>
                <w:sz w:val="19"/>
              </w:rPr>
              <w:t xml:space="preserve">Quick UI in Python (Flask + JavaScript: more work)</w:t>
            </w:r>
          </w:p>
        </w:tc>
      </w:tr>
      <w:tr>
        <w:tc>
          <w:tcPr>
            <w:tcW w:type="dxa" w:w="1993"/>
          </w:tcPr>
          <w:p>
            <w:pPr>
              <w:pStyle w:val="Compact"/>
              <w:spacing w:line="240" w:lineRule="auto" w:after="40"/>
              <w:jc w:val="left"/>
            </w:pPr>
            <w:r>
              <w:rPr>
                <w:sz w:val="19"/>
              </w:rPr>
              <w:t xml:space="preserve">Matplotlib, pytest</w:t>
            </w:r>
          </w:p>
        </w:tc>
        <w:tc>
          <w:tcPr>
            <w:tcW w:type="dxa" w:w="3518"/>
          </w:tcPr>
          <w:p>
            <w:pPr>
              <w:pStyle w:val="Compact"/>
              <w:spacing w:line="240" w:lineRule="auto" w:after="40"/>
              <w:jc w:val="left"/>
            </w:pPr>
            <w:r>
              <w:rPr>
                <w:sz w:val="19"/>
              </w:rPr>
              <w:t xml:space="preserve">Figures; 69 unit tests</w:t>
            </w:r>
          </w:p>
        </w:tc>
        <w:tc>
          <w:tcPr>
            <w:tcW w:type="dxa" w:w="3518"/>
          </w:tcPr>
          <w:p>
            <w:pPr>
              <w:pStyle w:val="Compact"/>
              <w:spacing w:line="240" w:lineRule="auto" w:after="40"/>
              <w:jc w:val="left"/>
            </w:pPr>
            <w:r>
              <w:rPr>
                <w:sz w:val="19"/>
              </w:rPr>
              <w:t xml:space="preserve">Standard</w:t>
            </w:r>
          </w:p>
        </w:tc>
      </w:tr>
      <w:tr>
        <w:tc>
          <w:tcPr>
            <w:tcW w:type="dxa" w:w="1993"/>
          </w:tcPr>
          <w:p>
            <w:pPr>
              <w:pStyle w:val="Compact"/>
              <w:spacing w:line="240" w:lineRule="auto" w:after="40"/>
              <w:jc w:val="left"/>
            </w:pPr>
            <w:r>
              <w:rPr>
                <w:sz w:val="19"/>
              </w:rPr>
              <w:t xml:space="preserve">bash, tmux</w:t>
            </w:r>
          </w:p>
        </w:tc>
        <w:tc>
          <w:tcPr>
            <w:tcW w:type="dxa" w:w="3518"/>
          </w:tcPr>
          <w:p>
            <w:pPr>
              <w:pStyle w:val="Compact"/>
              <w:spacing w:line="240" w:lineRule="auto" w:after="40"/>
              <w:jc w:val="left"/>
            </w:pPr>
            <w:r>
              <w:rPr>
                <w:sz w:val="19"/>
              </w:rPr>
              <w:t xml:space="preserve">Unattended 15-hour run with resume and backups</w:t>
            </w:r>
          </w:p>
        </w:tc>
        <w:tc>
          <w:tcPr>
            <w:tcW w:type="dxa" w:w="3518"/>
          </w:tcPr>
          <w:p>
            <w:pPr>
              <w:pStyle w:val="Compact"/>
              <w:spacing w:line="240" w:lineRule="auto" w:after="40"/>
              <w:jc w:val="left"/>
            </w:pPr>
            <w:r>
              <w:rPr>
                <w:sz w:val="19"/>
              </w:rPr>
              <w:t xml:space="preserve">Survives disconnections</w:t>
            </w:r>
          </w:p>
        </w:tc>
      </w:tr>
      <w:tr>
        <w:tc>
          <w:tcPr>
            <w:tcW w:type="dxa" w:w="1993"/>
          </w:tcPr>
          <w:p>
            <w:pPr>
              <w:pStyle w:val="Compact"/>
              <w:spacing w:line="240" w:lineRule="auto" w:after="40"/>
              <w:jc w:val="left"/>
            </w:pPr>
            <w:r>
              <w:rPr>
                <w:sz w:val="19"/>
              </w:rPr>
              <w:t xml:space="preserve">Git, GitHub</w:t>
            </w:r>
          </w:p>
        </w:tc>
        <w:tc>
          <w:tcPr>
            <w:tcW w:type="dxa" w:w="3518"/>
          </w:tcPr>
          <w:p>
            <w:pPr>
              <w:pStyle w:val="Compact"/>
              <w:spacing w:line="240" w:lineRule="auto" w:after="40"/>
              <w:jc w:val="left"/>
            </w:pPr>
            <w:r>
              <w:rPr>
                <w:sz w:val="19"/>
              </w:rPr>
              <w:t xml:space="preserve">Version control</w:t>
            </w:r>
          </w:p>
        </w:tc>
        <w:tc>
          <w:tcPr>
            <w:tcW w:type="dxa" w:w="3518"/>
          </w:tcPr>
          <w:p>
            <w:pPr>
              <w:pStyle w:val="Compact"/>
              <w:spacing w:line="240" w:lineRule="auto" w:after="40"/>
              <w:jc w:val="left"/>
            </w:pPr>
            <w:r>
              <w:rPr>
                <w:sz w:val="19"/>
              </w:rPr>
              <w:t xml:space="preserve">Team collaboration</w:t>
            </w:r>
          </w:p>
        </w:tc>
      </w:tr>
    </w:tbl>
    <w:bookmarkEnd w:id="100"/>
    <w:bookmarkStart w:id="101" w:name="configuration-and-pipeline"/>
    <w:p>
      <w:pPr>
        <w:pStyle w:val="Heading3"/>
      </w:pPr>
      <w:r>
        <w:t xml:space="preserve">4.1.3 Configuration and Pipeline</w:t>
      </w:r>
    </w:p>
    <w:p>
      <w:pPr>
        <w:pStyle w:val="FirstParagraph"/>
      </w:pPr>
      <w:r>
        <w:t xml:space="preserve">One YAML file holds every setting (geometry, dose, prism size, network size, sampling steps, number of hypotheses,</w:t>
      </w:r>
      <w:r>
        <w:t xml:space="preserve"> </w:t>
      </w:r>
      <m:oMath>
        <m:r>
          <m:t>α</m:t>
        </m:r>
        <m:r>
          <m:rPr>
            <m:sty m:val="p"/>
          </m:rPr>
          <m:t>=</m:t>
        </m:r>
        <m:r>
          <m:t>0.1</m:t>
        </m:r>
      </m:oMath>
      <w:r>
        <w:t xml:space="preserve">) and the random seed is fixed. The pipeline has 18 scripted steps: 00 environment check, 01 physics verification, 02 patient selection, 03 TCIA download, 04 cases and split, 05 DTS simulation, 06 SIRT, 07 training pairs, 08 diffusion training, 09 per-nodule pipeline, 10 evaluation and conformal intervals, 11 growth, 12 demo, 13 geometry sensitivity, 14 detector, 15 fit check, 16 conformal predictive systems, 17 explainability and 18 HTML report. Each step prints PASS/FAIL lines with the expected value.</w:t>
      </w:r>
    </w:p>
    <w:bookmarkEnd w:id="101"/>
    <w:bookmarkStart w:id="117" w:name="dataset-and-preprocessing"/>
    <w:p>
      <w:pPr>
        <w:pStyle w:val="Heading3"/>
      </w:pPr>
      <w:r>
        <w:t xml:space="preserve">4.1.4 Dataset and Preprocessing</w:t>
      </w:r>
    </w:p>
    <w:p>
      <w:pPr>
        <w:pStyle w:val="FirstParagraph"/>
      </w:pPr>
      <w:r>
        <w:rPr>
          <w:bCs/>
          <w:b/>
        </w:rPr>
        <w:t xml:space="preserve">Source.</w:t>
      </w:r>
      <w:r>
        <w:t xml:space="preserve"> </w:t>
      </w:r>
      <w:r>
        <w:t xml:space="preserve">We used the Lung Image Database Consortium and Image Database Resource Initiative (LIDC-IDRI) collection [19], distributed by The Cancer Imaging Archive (TCIA) under the Creative Commons Attribution 3.0 licence. It contains 1</w:t>
      </w:r>
      <w:r>
        <w:t xml:space="preserve">,</w:t>
      </w:r>
      <w:r>
        <w:t xml:space="preserve">018 thoracic CT scans from 1</w:t>
      </w:r>
      <w:r>
        <w:t xml:space="preserve">,</w:t>
      </w:r>
      <w:r>
        <w:t xml:space="preserve">010 patients, collected at seven academic centres and eight medical imaging companies on scanners from several manufacturers. Each scan was read by four experienced thoracic radiologists in a two-phase process: first blinded, then with the other readers’ marks visible. Every reader outlined each nodule of 3 mm or larger and rated its characteristics, including malignancy. LIDC-IDRI is the only large public CT collection with nodule outlines from several radiologists, which is exactly what is needed both as 3D ground truth and to measure inter-reader variability. No public dataset pairs chest DTS with CT, so DTS was simulated from these CT scans.</w:t>
      </w:r>
    </w:p>
    <w:p>
      <w:pPr>
        <w:pStyle w:val="BodyText"/>
      </w:pPr>
      <w:r>
        <w:rPr>
          <w:bCs/>
          <w:b/>
        </w:rPr>
        <w:t xml:space="preserve">Selection.</w:t>
      </w:r>
      <w:r>
        <w:t xml:space="preserve"> </w:t>
      </w:r>
      <w:r>
        <w:t xml:space="preserve">Patients were selected with pylidc [20] (Figure 4.1): a scan was kept if its slice thickness was at most 2.5 mm and it contained at least one nodule of 4–30 mm marked by at least three of the four radiologists, the convention used by LUNA16 [37]. This gave 583 patients with 1</w:t>
      </w:r>
      <w:r>
        <w:t xml:space="preserve">,</w:t>
      </w:r>
      <w:r>
        <w:t xml:space="preserve">144 nodules. Annotations from different readers were grouped into nodules by pylidc’s clustering, and a nodule’s</w:t>
      </w:r>
      <w:r>
        <w:t xml:space="preserve"> </w:t>
      </w:r>
      <w:r>
        <w:rPr>
          <w:iCs/>
          <w:i/>
        </w:rPr>
        <w:t xml:space="preserve">consensus mask</w:t>
      </w:r>
      <w:r>
        <w:t xml:space="preserve"> </w:t>
      </w:r>
      <w:r>
        <w:t xml:space="preserve">is the set of voxels outlined by at least 50% of its readers; the individual reader masks were kept to measure inter-reader variability.</w:t>
      </w:r>
    </w:p>
    <w:p>
      <w:pPr>
        <w:pStyle w:val="BodyText"/>
      </w:pPr>
      <w:r>
        <w:rPr>
          <w:bCs/>
          <w:b/>
        </w:rPr>
        <w:t xml:space="preserve">Split.</w:t>
      </w:r>
      <w:r>
        <w:t xml:space="preserve"> </w:t>
      </w:r>
      <w:r>
        <w:t xml:space="preserve">Patients, not nodules, were split 60/20/20 into training (350), calibration (117) and test (116) sets, so that no patient contributes nodules to two sets. The test set contains 225 nodules. The diffusion prior and detector were trained on the training patients, with 10% of them held out to select the diffusion checkpoint; the calibration patients were used to select the detector checkpoint and to calibrate the conformal methods; the test patients were used only for the final results.</w:t>
      </w:r>
    </w:p>
    <w:p>
      <w:pPr>
        <w:pStyle w:val="BodyText"/>
        <w:jc w:val="center"/>
      </w:pPr>
      <w:r>
        <w:drawing>
          <wp:inline>
            <wp:extent cx="5334000" cy="3830052"/>
            <wp:effectExtent b="0" l="0" r="0" t="0"/>
            <wp:docPr descr="image" title="" id="103" name="Picture"/>
            <a:graphic>
              <a:graphicData uri="http://schemas.openxmlformats.org/drawingml/2006/picture">
                <pic:pic>
                  <pic:nvPicPr>
                    <pic:cNvPr descr="/home/user/medlift3d/report/docx_build/figs/fig_dataset.png" id="104" name="Picture"/>
                    <pic:cNvPicPr>
                      <a:picLocks noChangeArrowheads="1" noChangeAspect="1"/>
                    </pic:cNvPicPr>
                  </pic:nvPicPr>
                  <pic:blipFill>
                    <a:blip r:embed="rId102"/>
                    <a:stretch>
                      <a:fillRect/>
                    </a:stretch>
                  </pic:blipFill>
                  <pic:spPr bwMode="auto">
                    <a:xfrm>
                      <a:off x="0" y="0"/>
                      <a:ext cx="5334000" cy="3830052"/>
                    </a:xfrm>
                    <a:prstGeom prst="rect">
                      <a:avLst/>
                    </a:prstGeom>
                    <a:noFill/>
                    <a:ln w="9525">
                      <a:noFill/>
                      <a:headEnd/>
                      <a:tailEnd/>
                    </a:ln>
                  </pic:spPr>
                </pic:pic>
              </a:graphicData>
            </a:graphic>
          </wp:inline>
        </w:drawing>
      </w:r>
    </w:p>
    <w:p>
      <w:pPr>
        <w:pStyle w:val="BodyText"/>
        <w:jc w:val="center"/>
      </w:pPr>
      <w:r>
        <w:rPr>
          <w:bCs/>
          <w:b/>
          <w:iCs/>
          <w:i/>
          <w:sz w:val="20"/>
        </w:rPr>
        <w:t xml:space="preserve">Figure 4.1:</w:t>
      </w:r>
      <w:r>
        <w:rPr>
          <w:iCs/>
          <w:i/>
          <w:sz w:val="20"/>
        </w:rPr>
        <w:t xml:space="preserve"> </w:t>
      </w:r>
      <w:r>
        <w:rPr>
          <w:iCs/>
          <w:i/>
          <w:sz w:val="20"/>
        </w:rPr>
        <w:t xml:space="preserve">Patient selection and split of the LIDC-IDRI dataset.</w:t>
      </w:r>
    </w:p>
    <w:p>
      <w:pPr>
        <w:pStyle w:val="BodyText"/>
      </w:pPr>
      <w:r>
        <w:rPr>
          <w:bCs/>
          <w:b/>
        </w:rPr>
        <w:t xml:space="preserve">Preprocessing.</w:t>
      </w:r>
      <w:r>
        <w:t xml:space="preserve"> </w:t>
      </w:r>
      <w:r>
        <w:t xml:space="preserve">About 64 GB of DICOM was downloaded from TCIA and converted into one compact case file per scan: the CT in Hounsfield units (clipped to</w:t>
      </w:r>
      <w:r>
        <w:t xml:space="preserve"> </w:t>
      </w:r>
      <m:oMath>
        <m:d>
          <m:dPr>
            <m:begChr m:val="["/>
            <m:endChr m:val="]"/>
            <m:sepChr m:val=""/>
            <m:grow/>
          </m:dPr>
          <m:e>
            <m:r>
              <m:rPr>
                <m:sty m:val="p"/>
              </m:rPr>
              <m:t>−</m:t>
            </m:r>
            <m:r>
              <m:t>1024</m:t>
            </m:r>
            <m:r>
              <m:rPr>
                <m:sty m:val="p"/>
              </m:rPr>
              <m:t>,</m:t>
            </m:r>
            <m:r>
              <m:t>3071</m:t>
            </m:r>
          </m:e>
        </m:d>
      </m:oMath>
      <w:r>
        <w:t xml:space="preserve"> </w:t>
      </w:r>
      <w:r>
        <w:t xml:space="preserve">and stored as 16-bit integers), the consensus and reader masks of every nodule (bit-packed), and a header with the voxel geometry and patient ID, after which the DICOM was deleted. The CT table was removed by keeping the largest connected body component, because a table would not be present in a chest DTS acquisition. We verified that the DICOM slice positions agree with pylidc’s for every scan (difference 0.000 mm), that the consensus masks lie on nodule tissue (median</w:t>
      </w:r>
      <w:r>
        <w:t xml:space="preserve"> </w:t>
      </w:r>
      <m:oMath>
        <m:r>
          <m:rPr>
            <m:sty m:val="p"/>
          </m:rPr>
          <m:t>−</m:t>
        </m:r>
        <m:r>
          <m:t>202</m:t>
        </m:r>
      </m:oMath>
      <w:r>
        <w:t xml:space="preserve"> HU) and that the consensus volume is on average 0.81 of the mean reader volume.</w:t>
      </w:r>
    </w:p>
    <w:p>
      <w:pPr>
        <w:pStyle w:val="BodyText"/>
      </w:pPr>
      <w:r>
        <w:rPr>
          <w:bCs/>
          <w:b/>
        </w:rPr>
        <w:t xml:space="preserve">DTS simulation and training pairs.</w:t>
      </w:r>
      <w:r>
        <w:t xml:space="preserve"> </w:t>
      </w:r>
      <w:r>
        <w:t xml:space="preserve">For each case, 15 projections over</w:t>
      </w:r>
      <w:r>
        <w:t xml:space="preserve"> </w:t>
      </w:r>
      <m:oMath>
        <m:r>
          <m:rPr>
            <m:sty m:val="p"/>
          </m:rPr>
          <m:t>±</m:t>
        </m:r>
        <m:sSup>
          <m:e>
            <m:r>
              <m:t>15</m:t>
            </m:r>
          </m:e>
          <m:sup>
            <m:r>
              <m:rPr>
                <m:sty m:val="p"/>
              </m:rPr>
              <m:t>∘</m:t>
            </m:r>
          </m:sup>
        </m:sSup>
      </m:oMath>
      <w:r>
        <w:t xml:space="preserve"> </w:t>
      </w:r>
      <w:r>
        <w:t xml:space="preserve">were simulated at CT resolution with Poisson noise (</w:t>
      </w:r>
      <m:oMath>
        <m:sSub>
          <m:e>
            <m:r>
              <m:t>I</m:t>
            </m:r>
          </m:e>
          <m:sub>
            <m:r>
              <m:t>0</m:t>
            </m:r>
          </m:sub>
        </m:sSub>
        <m:r>
          <m:rPr>
            <m:sty m:val="p"/>
          </m:rPr>
          <m:t>=</m:t>
        </m:r>
        <m:r>
          <m:t>2</m:t>
        </m:r>
        <m:r>
          <m:rPr>
            <m:sty m:val="p"/>
          </m:rPr>
          <m:t>×</m:t>
        </m:r>
        <m:sSup>
          <m:e>
            <m:r>
              <m:t>10</m:t>
            </m:r>
          </m:e>
          <m:sup>
            <m:r>
              <m:t>4</m:t>
            </m:r>
          </m:sup>
        </m:sSup>
      </m:oMath>
      <w:r>
        <w:t xml:space="preserve"> </w:t>
      </w:r>
      <w:r>
        <w:t xml:space="preserve">photons per pixel and view; median single-view nodule contrast-to-noise ratio 3.3) and reconstructed by whole-chest SIRT. Training pairs for the diffusion prior were cut from the training patients only: for each pair, the prism SIRT of the DTS is the condition and the same prism of the CT is the target, taken around nodules and around nodule-free lung regions so that the prior also learns normal anatomy. This gave 2,522 training pairs and 265 held-out pairs from the training patients; the condition kept the prism’s attenuation (median ratio to CT 0.956, 10–90%: 0.85–1.03), and its PSNR against the CT target was 10.66 dB, the baseline the prior must beat. Figure 4.2 shows the simulated views and the SIRT reconstruction of one patient and Figure 4.4 one training pair.</w:t>
      </w:r>
    </w:p>
    <w:p>
      <w:pPr>
        <w:pStyle w:val="BodyText"/>
        <w:jc w:val="center"/>
      </w:pPr>
      <w:r>
        <w:drawing>
          <wp:inline>
            <wp:extent cx="5334000" cy="3615791"/>
            <wp:effectExtent b="0" l="0" r="0" t="0"/>
            <wp:docPr descr="image" title="" id="106" name="Picture"/>
            <a:graphic>
              <a:graphicData uri="http://schemas.openxmlformats.org/drawingml/2006/picture">
                <pic:pic>
                  <pic:nvPicPr>
                    <pic:cNvPr descr="/home/user/medlift3d/report/figures/results/dts_views.png" id="107" name="Picture"/>
                    <pic:cNvPicPr>
                      <a:picLocks noChangeArrowheads="1" noChangeAspect="1"/>
                    </pic:cNvPicPr>
                  </pic:nvPicPr>
                  <pic:blipFill>
                    <a:blip r:embed="rId105"/>
                    <a:stretch>
                      <a:fillRect/>
                    </a:stretch>
                  </pic:blipFill>
                  <pic:spPr bwMode="auto">
                    <a:xfrm>
                      <a:off x="0" y="0"/>
                      <a:ext cx="5334000" cy="3615791"/>
                    </a:xfrm>
                    <a:prstGeom prst="rect">
                      <a:avLst/>
                    </a:prstGeom>
                    <a:noFill/>
                    <a:ln w="9525">
                      <a:noFill/>
                      <a:headEnd/>
                      <a:tailEnd/>
                    </a:ln>
                  </pic:spPr>
                </pic:pic>
              </a:graphicData>
            </a:graphic>
          </wp:inline>
        </w:drawing>
      </w:r>
    </w:p>
    <w:p>
      <w:pPr>
        <w:pStyle w:val="BodyText"/>
        <w:jc w:val="center"/>
      </w:pPr>
      <w:r>
        <w:rPr>
          <w:bCs/>
          <w:b/>
          <w:iCs/>
          <w:i/>
          <w:sz w:val="20"/>
        </w:rPr>
        <w:t xml:space="preserve">Figure 4.2:</w:t>
      </w:r>
      <w:r>
        <w:rPr>
          <w:iCs/>
          <w:i/>
          <w:sz w:val="20"/>
        </w:rPr>
        <w:t xml:space="preserve"> </w:t>
      </w:r>
      <w:r>
        <w:rPr>
          <w:iCs/>
          <w:i/>
          <w:sz w:val="20"/>
        </w:rPr>
        <w:t xml:space="preserve">The 15 simulated low-dose views of one patient (LIDC-IDRI-0003); the red circle marks a nodule, whose shadow shifts with the tube angle.</w:t>
      </w:r>
    </w:p>
    <w:p>
      <w:pPr>
        <w:pStyle w:val="BodyText"/>
        <w:jc w:val="center"/>
      </w:pPr>
      <w:r>
        <w:drawing>
          <wp:inline>
            <wp:extent cx="5334000" cy="4115912"/>
            <wp:effectExtent b="0" l="0" r="0" t="0"/>
            <wp:docPr descr="image" title="" id="109" name="Picture"/>
            <a:graphic>
              <a:graphicData uri="http://schemas.openxmlformats.org/drawingml/2006/picture">
                <pic:pic>
                  <pic:nvPicPr>
                    <pic:cNvPr descr="/home/user/medlift3d/report/figures/results/dts_sirt.png" id="110" name="Picture"/>
                    <pic:cNvPicPr>
                      <a:picLocks noChangeArrowheads="1" noChangeAspect="1"/>
                    </pic:cNvPicPr>
                  </pic:nvPicPr>
                  <pic:blipFill>
                    <a:blip r:embed="rId108"/>
                    <a:stretch>
                      <a:fillRect/>
                    </a:stretch>
                  </pic:blipFill>
                  <pic:spPr bwMode="auto">
                    <a:xfrm>
                      <a:off x="0" y="0"/>
                      <a:ext cx="5334000" cy="4115912"/>
                    </a:xfrm>
                    <a:prstGeom prst="rect">
                      <a:avLst/>
                    </a:prstGeom>
                    <a:noFill/>
                    <a:ln w="9525">
                      <a:noFill/>
                      <a:headEnd/>
                      <a:tailEnd/>
                    </a:ln>
                  </pic:spPr>
                </pic:pic>
              </a:graphicData>
            </a:graphic>
          </wp:inline>
        </w:drawing>
      </w:r>
    </w:p>
    <w:p>
      <w:pPr>
        <w:pStyle w:val="BodyText"/>
        <w:jc w:val="center"/>
      </w:pPr>
      <w:r>
        <w:rPr>
          <w:bCs/>
          <w:b/>
          <w:iCs/>
          <w:i/>
          <w:sz w:val="20"/>
        </w:rPr>
        <w:t xml:space="preserve">Figure 4.3:</w:t>
      </w:r>
      <w:r>
        <w:rPr>
          <w:iCs/>
          <w:i/>
          <w:sz w:val="20"/>
        </w:rPr>
        <w:t xml:space="preserve"> </w:t>
      </w:r>
      <w:r>
        <w:rPr>
          <w:iCs/>
          <w:i/>
          <w:sz w:val="20"/>
        </w:rPr>
        <w:t xml:space="preserve">Whole-chest SIRT of the same patient: sharp in the coronal (DTS) plane, smeared in depth (sagittal).</w:t>
      </w:r>
    </w:p>
    <w:p>
      <w:pPr>
        <w:pStyle w:val="BodyText"/>
        <w:jc w:val="center"/>
      </w:pPr>
      <w:r>
        <w:drawing>
          <wp:inline>
            <wp:extent cx="4081549" cy="3990109"/>
            <wp:effectExtent b="0" l="0" r="0" t="0"/>
            <wp:docPr descr="image" title="" id="112" name="Picture"/>
            <a:graphic>
              <a:graphicData uri="http://schemas.openxmlformats.org/drawingml/2006/picture">
                <pic:pic>
                  <pic:nvPicPr>
                    <pic:cNvPr descr="/home/user/medlift3d/report/figures/results/training_pair.png" id="113" name="Picture"/>
                    <pic:cNvPicPr>
                      <a:picLocks noChangeArrowheads="1" noChangeAspect="1"/>
                    </pic:cNvPicPr>
                  </pic:nvPicPr>
                  <pic:blipFill>
                    <a:blip r:embed="rId111"/>
                    <a:stretch>
                      <a:fillRect/>
                    </a:stretch>
                  </pic:blipFill>
                  <pic:spPr bwMode="auto">
                    <a:xfrm>
                      <a:off x="0" y="0"/>
                      <a:ext cx="4081549" cy="3990109"/>
                    </a:xfrm>
                    <a:prstGeom prst="rect">
                      <a:avLst/>
                    </a:prstGeom>
                    <a:noFill/>
                    <a:ln w="9525">
                      <a:noFill/>
                      <a:headEnd/>
                      <a:tailEnd/>
                    </a:ln>
                  </pic:spPr>
                </pic:pic>
              </a:graphicData>
            </a:graphic>
          </wp:inline>
        </w:drawing>
      </w:r>
    </w:p>
    <w:p>
      <w:pPr>
        <w:pStyle w:val="BodyText"/>
        <w:jc w:val="center"/>
      </w:pPr>
      <w:r>
        <w:rPr>
          <w:bCs/>
          <w:b/>
          <w:iCs/>
          <w:i/>
          <w:sz w:val="20"/>
        </w:rPr>
        <w:t xml:space="preserve">Figure 4.4:</w:t>
      </w:r>
      <w:r>
        <w:rPr>
          <w:iCs/>
          <w:i/>
          <w:sz w:val="20"/>
        </w:rPr>
        <w:t xml:space="preserve"> </w:t>
      </w:r>
      <w:r>
        <w:rPr>
          <w:iCs/>
          <w:i/>
          <w:sz w:val="20"/>
        </w:rPr>
        <w:t xml:space="preserve">A training pair: DTS prism (condition, top) and CT prism (target, bottom), coronal and sagittal views.</w:t>
      </w:r>
    </w:p>
    <w:p>
      <w:pPr>
        <w:pStyle w:val="BodyText"/>
      </w:pPr>
      <w:r>
        <w:t xml:space="preserve">Table 4.3 summarises the dataset.</w:t>
      </w:r>
    </w:p>
    <w:p>
      <w:pPr>
        <w:pStyle w:val="BodyText"/>
        <w:jc w:val="center"/>
      </w:pPr>
      <w:r>
        <w:rPr>
          <w:bCs/>
          <w:b/>
          <w:iCs/>
          <w:i/>
          <w:sz w:val="20"/>
        </w:rPr>
        <w:t xml:space="preserve">Table 4.3:</w:t>
      </w:r>
      <w:r>
        <w:rPr>
          <w:iCs/>
          <w:i/>
          <w:sz w:val="20"/>
        </w:rPr>
        <w:t xml:space="preserve"> </w:t>
      </w:r>
      <w:r>
        <w:rPr>
          <w:iCs/>
          <w:i/>
          <w:sz w:val="20"/>
        </w:rPr>
        <w:t xml:space="preserve">Dataset characteristics.</w:t>
      </w:r>
    </w:p>
    <w:tbl>
      <w:tblPr>
        <w:tblStyle w:val="Table"/>
        <w:tblW w:type="auto" w:w="0"/>
        <w:tblLook w:firstRow="1" w:lastRow="0" w:firstColumn="0" w:lastColumn="0" w:noHBand="0" w:noVBand="0" w:val="0020"/>
        <w:jc w:val="start"/>
        <w:tblBorders>
          <w:top w:val="single" w:sz="12" w:color="000000"/>
          <w:bottom w:val="single" w:sz="12" w:color="000000"/>
          <w:insideH w:val="single" w:sz="6" w:color="808080"/>
        </w:tblBorders>
      </w:tblPr>
      <w:tblGrid>
        <w:gridCol w:w="7128"/>
        <w:gridCol w:w="1900"/>
      </w:tblGrid>
      <w:tr>
        <w:trPr>
          <w:tblHeader w:val="true"/>
        </w:trPr>
        <w:tc>
          <w:tcPr>
            <w:tcW w:type="dxa" w:w="7128"/>
          </w:tcPr>
          <w:p>
            <w:pPr>
              <w:pStyle w:val="Compact"/>
              <w:spacing w:line="240" w:lineRule="auto" w:after="40"/>
              <w:jc w:val="left"/>
            </w:pPr>
            <w:r>
              <w:rPr>
                <w:b/>
                <w:sz w:val="19"/>
              </w:rPr>
              <w:t xml:space="preserve">Item</w:t>
            </w:r>
          </w:p>
        </w:tc>
        <w:tc>
          <w:tcPr>
            <w:tcW w:type="dxa" w:w="1901"/>
          </w:tcPr>
          <w:p>
            <w:pPr>
              <w:pStyle w:val="Compact"/>
              <w:spacing w:line="240" w:lineRule="auto" w:after="40"/>
              <w:jc w:val="right"/>
            </w:pPr>
            <w:r>
              <w:rPr>
                <w:b/>
                <w:sz w:val="19"/>
              </w:rPr>
              <w:t xml:space="preserve">Value</w:t>
            </w:r>
          </w:p>
        </w:tc>
      </w:tr>
      <w:tr>
        <w:tc>
          <w:tcPr>
            <w:tcW w:type="dxa" w:w="7128"/>
          </w:tcPr>
          <w:p>
            <w:pPr>
              <w:pStyle w:val="Compact"/>
              <w:spacing w:line="240" w:lineRule="auto" w:after="40"/>
              <w:jc w:val="left"/>
            </w:pPr>
            <w:r>
              <w:rPr>
                <w:sz w:val="19"/>
              </w:rPr>
              <w:t xml:space="preserve">LIDC-IDRI patients (</w:t>
            </w:r>
            <m:oMath>
              <m:r>
                <m:rPr>
                  <m:sty m:val="p"/>
                </m:rPr>
                <m:t>≥</m:t>
              </m:r>
            </m:oMath>
            <w:r>
              <w:rPr>
                <w:sz w:val="19"/>
              </w:rPr>
              <w:t xml:space="preserve">1 nodule of 4–30 mm marked by</w:t>
            </w:r>
            <w:r>
              <w:rPr>
                <w:sz w:val="19"/>
              </w:rPr>
              <w:t xml:space="preserve"> </w:t>
            </w:r>
            <m:oMath>
              <m:r>
                <m:rPr>
                  <m:sty m:val="p"/>
                </m:rPr>
                <m:t>≥</m:t>
              </m:r>
            </m:oMath>
            <w:r>
              <w:rPr>
                <w:sz w:val="19"/>
              </w:rPr>
              <w:t xml:space="preserve">3 readers, slices</w:t>
            </w:r>
            <w:r>
              <w:rPr>
                <w:sz w:val="19"/>
              </w:rPr>
              <w:t xml:space="preserve"> </w:t>
            </w:r>
            <m:oMath>
              <m:r>
                <m:rPr>
                  <m:sty m:val="p"/>
                </m:rPr>
                <m:t>≤</m:t>
              </m:r>
            </m:oMath>
            <w:r>
              <w:rPr>
                <w:sz w:val="19"/>
              </w:rPr>
              <w:t xml:space="preserve">2.5 mm)</w:t>
            </w:r>
          </w:p>
        </w:tc>
        <w:tc>
          <w:tcPr>
            <w:tcW w:type="dxa" w:w="1901"/>
          </w:tcPr>
          <w:p>
            <w:pPr>
              <w:pStyle w:val="Compact"/>
              <w:spacing w:line="240" w:lineRule="auto" w:after="40"/>
              <w:jc w:val="right"/>
            </w:pPr>
            <w:r>
              <w:rPr>
                <w:sz w:val="19"/>
              </w:rPr>
              <w:t xml:space="preserve">583</w:t>
            </w:r>
          </w:p>
        </w:tc>
      </w:tr>
      <w:tr>
        <w:tc>
          <w:tcPr>
            <w:tcW w:type="dxa" w:w="7128"/>
          </w:tcPr>
          <w:p>
            <w:pPr>
              <w:pStyle w:val="Compact"/>
              <w:spacing w:line="240" w:lineRule="auto" w:after="40"/>
              <w:jc w:val="left"/>
            </w:pPr>
            <w:r>
              <w:rPr>
                <w:sz w:val="19"/>
              </w:rPr>
              <w:t xml:space="preserve">Nodules</w:t>
            </w:r>
          </w:p>
        </w:tc>
        <w:tc>
          <w:tcPr>
            <w:tcW w:type="dxa" w:w="1901"/>
          </w:tcPr>
          <w:p>
            <w:pPr>
              <w:pStyle w:val="Compact"/>
              <w:spacing w:line="240" w:lineRule="auto" w:after="40"/>
              <w:jc w:val="right"/>
            </w:pPr>
            <w:r>
              <w:rPr>
                <w:sz w:val="19"/>
              </w:rPr>
              <w:t xml:space="preserve">1,144</w:t>
            </w:r>
          </w:p>
        </w:tc>
      </w:tr>
      <w:tr>
        <w:tc>
          <w:tcPr>
            <w:tcW w:type="dxa" w:w="7128"/>
          </w:tcPr>
          <w:p>
            <w:pPr>
              <w:pStyle w:val="Compact"/>
              <w:spacing w:line="240" w:lineRule="auto" w:after="40"/>
              <w:jc w:val="left"/>
            </w:pPr>
            <w:r>
              <w:rPr>
                <w:sz w:val="19"/>
              </w:rPr>
              <w:t xml:space="preserve">Train / calibration / test patients</w:t>
            </w:r>
          </w:p>
        </w:tc>
        <w:tc>
          <w:tcPr>
            <w:tcW w:type="dxa" w:w="1901"/>
          </w:tcPr>
          <w:p>
            <w:pPr>
              <w:pStyle w:val="Compact"/>
              <w:spacing w:line="240" w:lineRule="auto" w:after="40"/>
              <w:jc w:val="right"/>
            </w:pPr>
            <w:r>
              <w:rPr>
                <w:sz w:val="19"/>
              </w:rPr>
              <w:t xml:space="preserve">350 / 117 / 116</w:t>
            </w:r>
          </w:p>
        </w:tc>
      </w:tr>
      <w:tr>
        <w:tc>
          <w:tcPr>
            <w:tcW w:type="dxa" w:w="7128"/>
          </w:tcPr>
          <w:p>
            <w:pPr>
              <w:pStyle w:val="Compact"/>
              <w:spacing w:line="240" w:lineRule="auto" w:after="40"/>
              <w:jc w:val="left"/>
            </w:pPr>
            <w:r>
              <w:rPr>
                <w:sz w:val="19"/>
              </w:rPr>
              <w:t xml:space="preserve">Test nodules (detector evaluation)</w:t>
            </w:r>
          </w:p>
        </w:tc>
        <w:tc>
          <w:tcPr>
            <w:tcW w:type="dxa" w:w="1901"/>
          </w:tcPr>
          <w:p>
            <w:pPr>
              <w:pStyle w:val="Compact"/>
              <w:spacing w:line="240" w:lineRule="auto" w:after="40"/>
              <w:jc w:val="right"/>
            </w:pPr>
            <w:r>
              <w:rPr>
                <w:sz w:val="19"/>
              </w:rPr>
              <w:t xml:space="preserve">225 in 116 scans</w:t>
            </w:r>
          </w:p>
        </w:tc>
      </w:tr>
      <w:tr>
        <w:tc>
          <w:tcPr>
            <w:tcW w:type="dxa" w:w="7128"/>
          </w:tcPr>
          <w:p>
            <w:pPr>
              <w:pStyle w:val="Compact"/>
              <w:spacing w:line="240" w:lineRule="auto" w:after="40"/>
              <w:jc w:val="left"/>
            </w:pPr>
            <w:r>
              <w:rPr>
                <w:sz w:val="19"/>
              </w:rPr>
              <w:t xml:space="preserve">Nodules measured in step 09 (cal / test)</w:t>
            </w:r>
          </w:p>
        </w:tc>
        <w:tc>
          <w:tcPr>
            <w:tcW w:type="dxa" w:w="1901"/>
          </w:tcPr>
          <w:p>
            <w:pPr>
              <w:pStyle w:val="Compact"/>
              <w:spacing w:line="240" w:lineRule="auto" w:after="40"/>
              <w:jc w:val="right"/>
            </w:pPr>
            <w:r>
              <w:rPr>
                <w:sz w:val="19"/>
              </w:rPr>
              <w:t xml:space="preserve">76 / 74</w:t>
            </w:r>
          </w:p>
        </w:tc>
      </w:tr>
      <w:tr>
        <w:tc>
          <w:tcPr>
            <w:tcW w:type="dxa" w:w="7128"/>
          </w:tcPr>
          <w:p>
            <w:pPr>
              <w:pStyle w:val="Compact"/>
              <w:spacing w:line="240" w:lineRule="auto" w:after="40"/>
              <w:jc w:val="left"/>
            </w:pPr>
            <w:r>
              <w:rPr>
                <w:sz w:val="19"/>
              </w:rPr>
              <w:t xml:space="preserve">Diffusion training / held-out pairs</w:t>
            </w:r>
          </w:p>
        </w:tc>
        <w:tc>
          <w:tcPr>
            <w:tcW w:type="dxa" w:w="1901"/>
          </w:tcPr>
          <w:p>
            <w:pPr>
              <w:pStyle w:val="Compact"/>
              <w:spacing w:line="240" w:lineRule="auto" w:after="40"/>
              <w:jc w:val="right"/>
            </w:pPr>
            <w:r>
              <w:rPr>
                <w:sz w:val="19"/>
              </w:rPr>
              <w:t xml:space="preserve">2,522 / 265</w:t>
            </w:r>
          </w:p>
        </w:tc>
      </w:tr>
      <w:tr>
        <w:tc>
          <w:tcPr>
            <w:tcW w:type="dxa" w:w="7128"/>
          </w:tcPr>
          <w:p>
            <w:pPr>
              <w:pStyle w:val="Compact"/>
              <w:spacing w:line="240" w:lineRule="auto" w:after="40"/>
              <w:jc w:val="left"/>
            </w:pPr>
            <w:r>
              <w:rPr>
                <w:sz w:val="19"/>
              </w:rPr>
              <w:t xml:space="preserve">Radiologists’ volume disagreement (median CV)</w:t>
            </w:r>
          </w:p>
        </w:tc>
        <w:tc>
          <w:tcPr>
            <w:tcW w:type="dxa" w:w="1901"/>
          </w:tcPr>
          <w:p>
            <w:pPr>
              <w:pStyle w:val="Compact"/>
              <w:spacing w:line="240" w:lineRule="auto" w:after="40"/>
              <w:jc w:val="right"/>
            </w:pPr>
            <w:r>
              <w:rPr>
                <w:sz w:val="19"/>
              </w:rPr>
              <w:t xml:space="preserve">15%</w:t>
            </w:r>
          </w:p>
        </w:tc>
      </w:tr>
      <w:tr>
        <w:tc>
          <w:tcPr>
            <w:tcW w:type="dxa" w:w="7128"/>
          </w:tcPr>
          <w:p>
            <w:pPr>
              <w:pStyle w:val="Compact"/>
              <w:spacing w:line="240" w:lineRule="auto" w:after="40"/>
              <w:jc w:val="left"/>
            </w:pPr>
            <w:r>
              <w:rPr>
                <w:sz w:val="19"/>
              </w:rPr>
              <w:t xml:space="preserve">Consensus volume / mean reader volume</w:t>
            </w:r>
          </w:p>
        </w:tc>
        <w:tc>
          <w:tcPr>
            <w:tcW w:type="dxa" w:w="1901"/>
          </w:tcPr>
          <w:p>
            <w:pPr>
              <w:pStyle w:val="Compact"/>
              <w:spacing w:line="240" w:lineRule="auto" w:after="40"/>
              <w:jc w:val="right"/>
            </w:pPr>
            <w:r>
              <w:rPr>
                <w:sz w:val="19"/>
              </w:rPr>
              <w:t xml:space="preserve">0.81</w:t>
            </w:r>
          </w:p>
        </w:tc>
      </w:tr>
      <w:tr>
        <w:tc>
          <w:tcPr>
            <w:tcW w:type="dxa" w:w="7128"/>
          </w:tcPr>
          <w:p>
            <w:pPr>
              <w:pStyle w:val="Compact"/>
              <w:spacing w:line="240" w:lineRule="auto" w:after="40"/>
              <w:jc w:val="left"/>
            </w:pPr>
            <w:r>
              <w:rPr>
                <w:sz w:val="19"/>
              </w:rPr>
              <w:t xml:space="preserve">Single-view nodule contrast-to-noise ratio (median)</w:t>
            </w:r>
          </w:p>
        </w:tc>
        <w:tc>
          <w:tcPr>
            <w:tcW w:type="dxa" w:w="1901"/>
          </w:tcPr>
          <w:p>
            <w:pPr>
              <w:pStyle w:val="Compact"/>
              <w:spacing w:line="240" w:lineRule="auto" w:after="40"/>
              <w:jc w:val="right"/>
            </w:pPr>
            <w:r>
              <w:rPr>
                <w:sz w:val="19"/>
              </w:rPr>
              <w:t xml:space="preserve">3.3</w:t>
            </w:r>
          </w:p>
        </w:tc>
      </w:tr>
    </w:tbl>
    <w:p>
      <w:pPr>
        <w:pStyle w:val="BodyText"/>
        <w:jc w:val="center"/>
      </w:pPr>
      <w:r>
        <w:drawing>
          <wp:inline>
            <wp:extent cx="5334000" cy="2154731"/>
            <wp:effectExtent b="0" l="0" r="0" t="0"/>
            <wp:docPr descr="image" title="" id="115" name="Picture"/>
            <a:graphic>
              <a:graphicData uri="http://schemas.openxmlformats.org/drawingml/2006/picture">
                <pic:pic>
                  <pic:nvPicPr>
                    <pic:cNvPr descr="/home/user/medlift3d/report/figures/results/dataset_nodule_sizes.png" id="116" name="Picture"/>
                    <pic:cNvPicPr>
                      <a:picLocks noChangeArrowheads="1" noChangeAspect="1"/>
                    </pic:cNvPicPr>
                  </pic:nvPicPr>
                  <pic:blipFill>
                    <a:blip r:embed="rId114"/>
                    <a:stretch>
                      <a:fillRect/>
                    </a:stretch>
                  </pic:blipFill>
                  <pic:spPr bwMode="auto">
                    <a:xfrm>
                      <a:off x="0" y="0"/>
                      <a:ext cx="5334000" cy="2154731"/>
                    </a:xfrm>
                    <a:prstGeom prst="rect">
                      <a:avLst/>
                    </a:prstGeom>
                    <a:noFill/>
                    <a:ln w="9525">
                      <a:noFill/>
                      <a:headEnd/>
                      <a:tailEnd/>
                    </a:ln>
                  </pic:spPr>
                </pic:pic>
              </a:graphicData>
            </a:graphic>
          </wp:inline>
        </w:drawing>
      </w:r>
    </w:p>
    <w:p>
      <w:pPr>
        <w:pStyle w:val="BodyText"/>
        <w:jc w:val="center"/>
      </w:pPr>
      <w:r>
        <w:rPr>
          <w:bCs/>
          <w:b/>
          <w:iCs/>
          <w:i/>
          <w:sz w:val="20"/>
        </w:rPr>
        <w:t xml:space="preserve">Figure 4.5:</w:t>
      </w:r>
      <w:r>
        <w:rPr>
          <w:iCs/>
          <w:i/>
          <w:sz w:val="20"/>
        </w:rPr>
        <w:t xml:space="preserve"> </w:t>
      </w:r>
      <w:r>
        <w:rPr>
          <w:iCs/>
          <w:i/>
          <w:sz w:val="20"/>
        </w:rPr>
        <w:t xml:space="preserve">Size of the 150 measured nodules (calibration and test): consensus volume (left) and diameter (right).</w:t>
      </w:r>
    </w:p>
    <w:bookmarkEnd w:id="117"/>
    <w:bookmarkEnd w:id="118"/>
    <w:bookmarkStart w:id="124" w:name="testing-and-evaluation"/>
    <w:p>
      <w:pPr>
        <w:pStyle w:val="Heading2"/>
      </w:pPr>
      <w:r>
        <w:t xml:space="preserve">4.2 Testing and Evaluation</w:t>
      </w:r>
    </w:p>
    <w:p>
      <w:pPr>
        <w:pStyle w:val="FirstParagraph"/>
      </w:pPr>
      <w:r>
        <w:t xml:space="preserve">This section describes how the system was tested, how the data were split, which metrics and baselines were used, how every requirement was verified, and which problems were found and fixed.</w:t>
      </w:r>
    </w:p>
    <w:bookmarkStart w:id="119" w:name="verification-strategy"/>
    <w:p>
      <w:pPr>
        <w:pStyle w:val="Heading3"/>
      </w:pPr>
      <w:r>
        <w:t xml:space="preserve">4.2.1 Verification Strategy</w:t>
      </w:r>
    </w:p>
    <w:p>
      <w:pPr>
        <w:pStyle w:val="FirstParagraph"/>
      </w:pPr>
      <w:r>
        <w:t xml:space="preserve">Testing was done at four levels:</w:t>
      </w:r>
    </w:p>
    <w:p>
      <w:pPr>
        <w:numPr>
          <w:ilvl w:val="0"/>
          <w:numId w:val="1003"/>
        </w:numPr>
      </w:pPr>
      <w:r>
        <w:rPr>
          <w:bCs/>
          <w:b/>
        </w:rPr>
        <w:t xml:space="preserve">Unit tests (69):</w:t>
      </w:r>
      <w:r>
        <w:t xml:space="preserve"> </w:t>
      </w:r>
      <w:r>
        <w:t xml:space="preserve">projector adjointness and mass conservation, the Gaussian mass formula, conformal coverage on synthetic data, Mondrian group coverage, CPS probabilities against crepes, the CGLS seen/unseen split, and fit-check parsing.</w:t>
      </w:r>
    </w:p>
    <w:p>
      <w:pPr>
        <w:numPr>
          <w:ilvl w:val="0"/>
          <w:numId w:val="1003"/>
        </w:numPr>
      </w:pPr>
      <w:r>
        <w:rPr>
          <w:bCs/>
          <w:b/>
        </w:rPr>
        <w:t xml:space="preserve">Smoke test:</w:t>
      </w:r>
      <w:r>
        <w:t xml:space="preserve"> </w:t>
      </w:r>
      <w:r>
        <w:t xml:space="preserve">the full pipeline on synthetic chest phantoms on a CPU in 10–20 minutes.</w:t>
      </w:r>
    </w:p>
    <w:p>
      <w:pPr>
        <w:numPr>
          <w:ilvl w:val="0"/>
          <w:numId w:val="1003"/>
        </w:numPr>
      </w:pPr>
      <w:r>
        <w:rPr>
          <w:bCs/>
          <w:b/>
        </w:rPr>
        <w:t xml:space="preserve">Real-data pilots:</w:t>
      </w:r>
      <w:r>
        <w:t xml:space="preserve"> </w:t>
      </w:r>
      <w:r>
        <w:t xml:space="preserve">4 patients on CPU and 40 patients on Kaggle, which exposed and fixed the depth-support bug (prism attenuation 67–81%</w:t>
      </w:r>
      <w:r>
        <w:t xml:space="preserve"> </w:t>
      </w:r>
      <m:oMath>
        <m:r>
          <m:rPr>
            <m:sty m:val="p"/>
          </m:rPr>
          <m:t>→</m:t>
        </m:r>
      </m:oMath>
      <w:r>
        <w:t xml:space="preserve"> </w:t>
      </w:r>
      <w:r>
        <w:t xml:space="preserve">98.7%).</w:t>
      </w:r>
    </w:p>
    <w:p>
      <w:pPr>
        <w:numPr>
          <w:ilvl w:val="0"/>
          <w:numId w:val="1003"/>
        </w:numPr>
      </w:pPr>
      <w:r>
        <w:rPr>
          <w:bCs/>
          <w:b/>
        </w:rPr>
        <w:t xml:space="preserve">Full run:</w:t>
      </w:r>
      <w:r>
        <w:t xml:space="preserve"> </w:t>
      </w:r>
      <w:r>
        <w:t xml:space="preserve">583 patients with automatic checks after every step and an HTML report listing all checks.</w:t>
      </w:r>
    </w:p>
    <w:bookmarkEnd w:id="119"/>
    <w:bookmarkStart w:id="120" w:name="data-split-and-evaluation-protocol"/>
    <w:p>
      <w:pPr>
        <w:pStyle w:val="Heading3"/>
      </w:pPr>
      <w:r>
        <w:t xml:space="preserve">4.2.2 Data Split and Evaluation Protocol</w:t>
      </w:r>
    </w:p>
    <w:p>
      <w:pPr>
        <w:pStyle w:val="FirstParagraph"/>
      </w:pPr>
      <w:r>
        <w:t xml:space="preserve">Patients, not nodules, were split 60/20/20: 350 training, 117 calibration and 116 test patients. The diffusion model was selected on 10% of the training patients held out, the detector on the calibration patients, and the conformal methods were calibrated on the calibration patients. Test patients were used only for the final tables.</w:t>
      </w:r>
    </w:p>
    <w:bookmarkEnd w:id="120"/>
    <w:bookmarkStart w:id="121" w:name="metrics-and-baselines"/>
    <w:p>
      <w:pPr>
        <w:pStyle w:val="Heading3"/>
      </w:pPr>
      <w:r>
        <w:t xml:space="preserve">4.2.3 Metrics and Baselines</w:t>
      </w:r>
    </w:p>
    <w:p>
      <w:pPr>
        <w:pStyle w:val="FirstParagraph"/>
      </w:pPr>
      <w:r>
        <w:t xml:space="preserve">Volume and mass error (median signed error, median absolute percentage error MdAPE, Bland–Altman limits), failure rate, nodule-box PSNR, interval coverage and median width, Brier score and expected calibration error (ECE) of category probabilities, doubling-time error and NELSON category accuracy, detection CPM and sensitivity, seen fraction and unseen skill, and run time. Baselines: 2D diameter converted to a sphere volume (clinical practice), coarse SIRT, prism ROI-SIRT, physics-only Gaussians, and diffusion without Gaussians.</w:t>
      </w:r>
    </w:p>
    <w:bookmarkEnd w:id="121"/>
    <w:bookmarkStart w:id="122" w:name="requirement-verification"/>
    <w:p>
      <w:pPr>
        <w:pStyle w:val="Heading3"/>
      </w:pPr>
      <w:r>
        <w:t xml:space="preserve">4.2.4 Requirement Verification</w:t>
      </w:r>
    </w:p>
    <w:p>
      <w:pPr>
        <w:pStyle w:val="FirstParagraph"/>
      </w:pPr>
      <w:r>
        <w:t xml:space="preserve">Each requirement in Tables 3.3 and 3.4 was checked by the step named in its last column; the check prints the measured value next to the expected one. Table 4.4 lists every requirement with its measured result. Fifteen of the sixteen rows are met. FR-08 is met for coverage but only partly for the Brier score, and the measurement accuracy itself, which no single requirement fixes, is discussed with the hypotheses in Section 4.3.</w:t>
      </w:r>
    </w:p>
    <w:p>
      <w:pPr>
        <w:pStyle w:val="BodyText"/>
        <w:jc w:val="center"/>
      </w:pPr>
      <w:r>
        <w:rPr>
          <w:bCs/>
          <w:b/>
          <w:iCs/>
          <w:i/>
          <w:sz w:val="20"/>
        </w:rPr>
        <w:t xml:space="preserve">Table 4.4:</w:t>
      </w:r>
      <w:r>
        <w:rPr>
          <w:iCs/>
          <w:i/>
          <w:sz w:val="20"/>
        </w:rPr>
        <w:t xml:space="preserve"> </w:t>
      </w:r>
      <w:r>
        <w:rPr>
          <w:iCs/>
          <w:i/>
          <w:sz w:val="20"/>
        </w:rPr>
        <w:t xml:space="preserve">Requirement verification (traceability).</w:t>
      </w:r>
    </w:p>
    <w:tbl>
      <w:tblPr>
        <w:tblStyle w:val="Table"/>
        <w:tblW w:type="auto" w:w="0"/>
        <w:tblLook w:firstRow="1" w:lastRow="0" w:firstColumn="0" w:lastColumn="0" w:noHBand="0" w:noVBand="0" w:val="0020"/>
        <w:jc w:val="start"/>
        <w:tblBorders>
          <w:top w:val="single" w:sz="12" w:color="000000"/>
          <w:bottom w:val="single" w:sz="12" w:color="000000"/>
          <w:insideH w:val="single" w:sz="6" w:color="808080"/>
        </w:tblBorders>
      </w:tblPr>
      <w:tblGrid>
        <w:gridCol w:w="779"/>
        <w:gridCol w:w="2598"/>
        <w:gridCol w:w="4871"/>
        <w:gridCol w:w="779"/>
      </w:tblGrid>
      <w:tr>
        <w:trPr>
          <w:tblHeader w:val="true"/>
        </w:trPr>
        <w:tc>
          <w:tcPr>
            <w:tcW w:type="dxa" w:w="779"/>
          </w:tcPr>
          <w:p>
            <w:pPr>
              <w:pStyle w:val="Compact"/>
              <w:spacing w:line="240" w:lineRule="auto" w:after="40"/>
              <w:jc w:val="left"/>
            </w:pPr>
            <w:r>
              <w:rPr>
                <w:b/>
                <w:sz w:val="19"/>
              </w:rPr>
              <w:t xml:space="preserve">Req.</w:t>
            </w:r>
          </w:p>
        </w:tc>
        <w:tc>
          <w:tcPr>
            <w:tcW w:type="dxa" w:w="2598"/>
          </w:tcPr>
          <w:p>
            <w:pPr>
              <w:pStyle w:val="Compact"/>
              <w:spacing w:line="240" w:lineRule="auto" w:after="40"/>
              <w:jc w:val="left"/>
            </w:pPr>
            <w:r>
              <w:rPr>
                <w:b/>
                <w:sz w:val="19"/>
              </w:rPr>
              <w:t xml:space="preserve">Criterion</w:t>
            </w:r>
          </w:p>
        </w:tc>
        <w:tc>
          <w:tcPr>
            <w:tcW w:type="dxa" w:w="4872"/>
          </w:tcPr>
          <w:p>
            <w:pPr>
              <w:pStyle w:val="Compact"/>
              <w:spacing w:line="240" w:lineRule="auto" w:after="40"/>
              <w:jc w:val="left"/>
            </w:pPr>
            <w:r>
              <w:rPr>
                <w:b/>
                <w:sz w:val="19"/>
              </w:rPr>
              <w:t xml:space="preserve">Result</w:t>
            </w:r>
          </w:p>
        </w:tc>
        <w:tc>
          <w:tcPr>
            <w:tcW w:type="dxa" w:w="779"/>
          </w:tcPr>
          <w:p>
            <w:pPr>
              <w:pStyle w:val="Compact"/>
              <w:spacing w:line="240" w:lineRule="auto" w:after="40"/>
              <w:jc w:val="left"/>
            </w:pPr>
            <w:r>
              <w:rPr>
                <w:b/>
                <w:sz w:val="19"/>
              </w:rPr>
              <w:t xml:space="preserve">Met</w:t>
            </w:r>
          </w:p>
        </w:tc>
      </w:tr>
      <w:tr>
        <w:tc>
          <w:tcPr>
            <w:tcW w:type="dxa" w:w="779"/>
          </w:tcPr>
          <w:p>
            <w:pPr>
              <w:pStyle w:val="Compact"/>
              <w:spacing w:line="240" w:lineRule="auto" w:after="40"/>
              <w:jc w:val="left"/>
            </w:pPr>
            <w:r>
              <w:rPr>
                <w:sz w:val="19"/>
              </w:rPr>
              <w:t xml:space="preserve">FR-01</w:t>
            </w:r>
          </w:p>
        </w:tc>
        <w:tc>
          <w:tcPr>
            <w:tcW w:type="dxa" w:w="2598"/>
          </w:tcPr>
          <w:p>
            <w:pPr>
              <w:pStyle w:val="Compact"/>
              <w:spacing w:line="240" w:lineRule="auto" w:after="40"/>
              <w:jc w:val="left"/>
            </w:pPr>
            <w:r>
              <w:rPr>
                <w:sz w:val="19"/>
              </w:rPr>
              <w:t xml:space="preserve">Positions agree; splits disjoint</w:t>
            </w:r>
          </w:p>
        </w:tc>
        <w:tc>
          <w:tcPr>
            <w:tcW w:type="dxa" w:w="4872"/>
          </w:tcPr>
          <w:p>
            <w:pPr>
              <w:pStyle w:val="Compact"/>
              <w:spacing w:line="240" w:lineRule="auto" w:after="40"/>
              <w:jc w:val="left"/>
            </w:pPr>
            <w:r>
              <w:rPr>
                <w:sz w:val="19"/>
              </w:rPr>
              <w:t xml:space="preserve">DICOM vs pylidc slice positions 0.000 mm; 350/117/116 patients, disjoint</w:t>
            </w:r>
          </w:p>
        </w:tc>
        <w:tc>
          <w:tcPr>
            <w:tcW w:type="dxa" w:w="779"/>
          </w:tcPr>
          <w:p>
            <w:pPr>
              <w:pStyle w:val="Compact"/>
              <w:spacing w:line="240" w:lineRule="auto" w:after="40"/>
              <w:jc w:val="left"/>
            </w:pPr>
            <w:r>
              <w:rPr>
                <w:sz w:val="19"/>
              </w:rPr>
              <w:t xml:space="preserve">Yes</w:t>
            </w:r>
          </w:p>
        </w:tc>
      </w:tr>
      <w:tr>
        <w:tc>
          <w:tcPr>
            <w:tcW w:type="dxa" w:w="779"/>
          </w:tcPr>
          <w:p>
            <w:pPr>
              <w:pStyle w:val="Compact"/>
              <w:spacing w:line="240" w:lineRule="auto" w:after="40"/>
              <w:jc w:val="left"/>
            </w:pPr>
            <w:r>
              <w:rPr>
                <w:sz w:val="19"/>
              </w:rPr>
              <w:t xml:space="preserve">FR-02</w:t>
            </w:r>
          </w:p>
        </w:tc>
        <w:tc>
          <w:tcPr>
            <w:tcW w:type="dxa" w:w="2598"/>
          </w:tcPr>
          <w:p>
            <w:pPr>
              <w:pStyle w:val="Compact"/>
              <w:spacing w:line="240" w:lineRule="auto" w:after="40"/>
              <w:jc w:val="left"/>
            </w:pPr>
            <w:r>
              <w:rPr>
                <w:sz w:val="19"/>
              </w:rPr>
              <w:t xml:space="preserve">Integral = mass within 0.1%</w:t>
            </w:r>
          </w:p>
        </w:tc>
        <w:tc>
          <w:tcPr>
            <w:tcW w:type="dxa" w:w="4872"/>
          </w:tcPr>
          <w:p>
            <w:pPr>
              <w:pStyle w:val="Compact"/>
              <w:spacing w:line="240" w:lineRule="auto" w:after="40"/>
              <w:jc w:val="left"/>
            </w:pPr>
            <w:r>
              <w:rPr>
                <w:sz w:val="19"/>
              </w:rPr>
              <w:t xml:space="preserve">0.03% in all 15 views; deeper object of equal mass indistinguishable</w:t>
            </w:r>
          </w:p>
        </w:tc>
        <w:tc>
          <w:tcPr>
            <w:tcW w:type="dxa" w:w="779"/>
          </w:tcPr>
          <w:p>
            <w:pPr>
              <w:pStyle w:val="Compact"/>
              <w:spacing w:line="240" w:lineRule="auto" w:after="40"/>
              <w:jc w:val="left"/>
            </w:pPr>
            <w:r>
              <w:rPr>
                <w:sz w:val="19"/>
              </w:rPr>
              <w:t xml:space="preserve">Yes</w:t>
            </w:r>
          </w:p>
        </w:tc>
      </w:tr>
      <w:tr>
        <w:tc>
          <w:tcPr>
            <w:tcW w:type="dxa" w:w="779"/>
          </w:tcPr>
          <w:p>
            <w:pPr>
              <w:pStyle w:val="Compact"/>
              <w:spacing w:line="240" w:lineRule="auto" w:after="40"/>
              <w:jc w:val="left"/>
            </w:pPr>
            <w:r>
              <w:rPr>
                <w:sz w:val="19"/>
              </w:rPr>
              <w:t xml:space="preserve">FR-03</w:t>
            </w:r>
          </w:p>
        </w:tc>
        <w:tc>
          <w:tcPr>
            <w:tcW w:type="dxa" w:w="2598"/>
          </w:tcPr>
          <w:p>
            <w:pPr>
              <w:pStyle w:val="Compact"/>
              <w:spacing w:line="240" w:lineRule="auto" w:after="40"/>
              <w:jc w:val="left"/>
            </w:pPr>
            <w:r>
              <w:rPr>
                <w:sz w:val="19"/>
              </w:rPr>
              <w:t xml:space="preserve">Residual</w:t>
            </w:r>
            <w:r>
              <w:rPr>
                <w:sz w:val="19"/>
              </w:rPr>
              <w:t xml:space="preserve"> </w:t>
            </w:r>
            <m:oMath>
              <m:r>
                <m:rPr>
                  <m:sty m:val="p"/>
                </m:rPr>
                <m:t>&lt;</m:t>
              </m:r>
              <m:r>
                <m:t>0.9</m:t>
              </m:r>
            </m:oMath>
            <w:r>
              <w:rPr>
                <w:sz w:val="19"/>
              </w:rPr>
              <w:t xml:space="preserve">; depth/in-plane</w:t>
            </w:r>
            <w:r>
              <w:rPr>
                <w:sz w:val="19"/>
              </w:rPr>
              <w:t xml:space="preserve"> </w:t>
            </w:r>
            <m:oMath>
              <m:r>
                <m:rPr>
                  <m:sty m:val="p"/>
                </m:rPr>
                <m:t>&gt;</m:t>
              </m:r>
              <m:r>
                <m:t>1.3</m:t>
              </m:r>
            </m:oMath>
          </w:p>
        </w:tc>
        <w:tc>
          <w:tcPr>
            <w:tcW w:type="dxa" w:w="4872"/>
          </w:tcPr>
          <w:p>
            <w:pPr>
              <w:pStyle w:val="Compact"/>
              <w:spacing w:line="240" w:lineRule="auto" w:after="40"/>
              <w:jc w:val="left"/>
            </w:pPr>
            <w:r>
              <w:rPr>
                <w:sz w:val="19"/>
              </w:rPr>
              <w:t xml:space="preserve">Residual 0.02–0.03 of start; depth smear 2–3.5</w:t>
            </w:r>
            <m:oMath>
              <m:r>
                <m:rPr>
                  <m:sty m:val="p"/>
                </m:rPr>
                <m:t>×</m:t>
              </m:r>
            </m:oMath>
          </w:p>
        </w:tc>
        <w:tc>
          <w:tcPr>
            <w:tcW w:type="dxa" w:w="779"/>
          </w:tcPr>
          <w:p>
            <w:pPr>
              <w:pStyle w:val="Compact"/>
              <w:spacing w:line="240" w:lineRule="auto" w:after="40"/>
              <w:jc w:val="left"/>
            </w:pPr>
            <w:r>
              <w:rPr>
                <w:sz w:val="19"/>
              </w:rPr>
              <w:t xml:space="preserve">Yes</w:t>
            </w:r>
          </w:p>
        </w:tc>
      </w:tr>
      <w:tr>
        <w:tc>
          <w:tcPr>
            <w:tcW w:type="dxa" w:w="779"/>
          </w:tcPr>
          <w:p>
            <w:pPr>
              <w:pStyle w:val="Compact"/>
              <w:spacing w:line="240" w:lineRule="auto" w:after="40"/>
              <w:jc w:val="left"/>
            </w:pPr>
            <w:r>
              <w:rPr>
                <w:sz w:val="19"/>
              </w:rPr>
              <w:t xml:space="preserve">FR-04</w:t>
            </w:r>
          </w:p>
        </w:tc>
        <w:tc>
          <w:tcPr>
            <w:tcW w:type="dxa" w:w="2598"/>
          </w:tcPr>
          <w:p>
            <w:pPr>
              <w:pStyle w:val="Compact"/>
              <w:spacing w:line="240" w:lineRule="auto" w:after="40"/>
              <w:jc w:val="left"/>
            </w:pPr>
            <w:r>
              <w:rPr>
                <w:sz w:val="19"/>
              </w:rPr>
              <w:t xml:space="preserve">Learned CPM</w:t>
            </w:r>
            <w:r>
              <w:rPr>
                <w:sz w:val="19"/>
              </w:rPr>
              <w:t xml:space="preserve"> </w:t>
            </w:r>
            <m:oMath>
              <m:r>
                <m:rPr>
                  <m:sty m:val="p"/>
                </m:rPr>
                <m:t>&gt;</m:t>
              </m:r>
            </m:oMath>
            <w:r>
              <w:rPr>
                <w:sz w:val="19"/>
              </w:rPr>
              <w:t xml:space="preserve"> </w:t>
            </w:r>
            <w:r>
              <w:rPr>
                <w:sz w:val="19"/>
              </w:rPr>
              <w:t xml:space="preserve">baseline</w:t>
            </w:r>
          </w:p>
        </w:tc>
        <w:tc>
          <w:tcPr>
            <w:tcW w:type="dxa" w:w="4872"/>
          </w:tcPr>
          <w:p>
            <w:pPr>
              <w:pStyle w:val="Compact"/>
              <w:spacing w:line="240" w:lineRule="auto" w:after="40"/>
              <w:jc w:val="left"/>
            </w:pPr>
            <w:r>
              <w:rPr>
                <w:sz w:val="19"/>
              </w:rPr>
              <w:t xml:space="preserve">0.298 vs 0.017</w:t>
            </w:r>
          </w:p>
        </w:tc>
        <w:tc>
          <w:tcPr>
            <w:tcW w:type="dxa" w:w="779"/>
          </w:tcPr>
          <w:p>
            <w:pPr>
              <w:pStyle w:val="Compact"/>
              <w:spacing w:line="240" w:lineRule="auto" w:after="40"/>
              <w:jc w:val="left"/>
            </w:pPr>
            <w:r>
              <w:rPr>
                <w:sz w:val="19"/>
              </w:rPr>
              <w:t xml:space="preserve">Yes</w:t>
            </w:r>
          </w:p>
        </w:tc>
      </w:tr>
      <w:tr>
        <w:tc>
          <w:tcPr>
            <w:tcW w:type="dxa" w:w="779"/>
          </w:tcPr>
          <w:p>
            <w:pPr>
              <w:pStyle w:val="Compact"/>
              <w:spacing w:line="240" w:lineRule="auto" w:after="40"/>
              <w:jc w:val="left"/>
            </w:pPr>
            <w:r>
              <w:rPr>
                <w:sz w:val="19"/>
              </w:rPr>
              <w:t xml:space="preserve">FR-05</w:t>
            </w:r>
          </w:p>
        </w:tc>
        <w:tc>
          <w:tcPr>
            <w:tcW w:type="dxa" w:w="2598"/>
          </w:tcPr>
          <w:p>
            <w:pPr>
              <w:pStyle w:val="Compact"/>
              <w:spacing w:line="240" w:lineRule="auto" w:after="40"/>
              <w:jc w:val="left"/>
            </w:pPr>
            <w:r>
              <w:rPr>
                <w:sz w:val="19"/>
              </w:rPr>
              <w:t xml:space="preserve">Prism keeps column attenuation</w:t>
            </w:r>
          </w:p>
        </w:tc>
        <w:tc>
          <w:tcPr>
            <w:tcW w:type="dxa" w:w="4872"/>
          </w:tcPr>
          <w:p>
            <w:pPr>
              <w:pStyle w:val="Compact"/>
              <w:spacing w:line="240" w:lineRule="auto" w:after="40"/>
              <w:jc w:val="left"/>
            </w:pPr>
            <w:r>
              <w:rPr>
                <w:sz w:val="19"/>
              </w:rPr>
              <w:t xml:space="preserve">Median 0.956 of the CT (10–90%: 0.85–1.03) over all training pairs</w:t>
            </w:r>
          </w:p>
        </w:tc>
        <w:tc>
          <w:tcPr>
            <w:tcW w:type="dxa" w:w="779"/>
          </w:tcPr>
          <w:p>
            <w:pPr>
              <w:pStyle w:val="Compact"/>
              <w:spacing w:line="240" w:lineRule="auto" w:after="40"/>
              <w:jc w:val="left"/>
            </w:pPr>
            <w:r>
              <w:rPr>
                <w:sz w:val="19"/>
              </w:rPr>
              <w:t xml:space="preserve">Yes</w:t>
            </w:r>
          </w:p>
        </w:tc>
      </w:tr>
      <w:tr>
        <w:tc>
          <w:tcPr>
            <w:tcW w:type="dxa" w:w="779"/>
          </w:tcPr>
          <w:p>
            <w:pPr>
              <w:pStyle w:val="Compact"/>
              <w:spacing w:line="240" w:lineRule="auto" w:after="40"/>
              <w:jc w:val="left"/>
            </w:pPr>
            <w:r>
              <w:rPr>
                <w:sz w:val="19"/>
              </w:rPr>
              <w:t xml:space="preserve">FR-06</w:t>
            </w:r>
          </w:p>
        </w:tc>
        <w:tc>
          <w:tcPr>
            <w:tcW w:type="dxa" w:w="2598"/>
          </w:tcPr>
          <w:p>
            <w:pPr>
              <w:pStyle w:val="Compact"/>
              <w:spacing w:line="240" w:lineRule="auto" w:after="40"/>
              <w:jc w:val="left"/>
            </w:pPr>
            <w:r>
              <w:rPr>
                <w:sz w:val="19"/>
              </w:rPr>
              <w:t xml:space="preserve">Samples beat physics input</w:t>
            </w:r>
          </w:p>
        </w:tc>
        <w:tc>
          <w:tcPr>
            <w:tcW w:type="dxa" w:w="4872"/>
          </w:tcPr>
          <w:p>
            <w:pPr>
              <w:pStyle w:val="Compact"/>
              <w:spacing w:line="240" w:lineRule="auto" w:after="40"/>
              <w:jc w:val="left"/>
            </w:pPr>
            <w:r>
              <w:rPr>
                <w:sz w:val="19"/>
              </w:rPr>
              <w:t xml:space="preserve">Nodule-box PSNR 15.23 vs 11.88 dB (+3.35 dB)</w:t>
            </w:r>
          </w:p>
        </w:tc>
        <w:tc>
          <w:tcPr>
            <w:tcW w:type="dxa" w:w="779"/>
          </w:tcPr>
          <w:p>
            <w:pPr>
              <w:pStyle w:val="Compact"/>
              <w:spacing w:line="240" w:lineRule="auto" w:after="40"/>
              <w:jc w:val="left"/>
            </w:pPr>
            <w:r>
              <w:rPr>
                <w:sz w:val="19"/>
              </w:rPr>
              <w:t xml:space="preserve">Yes</w:t>
            </w:r>
          </w:p>
        </w:tc>
      </w:tr>
      <w:tr>
        <w:tc>
          <w:tcPr>
            <w:tcW w:type="dxa" w:w="779"/>
          </w:tcPr>
          <w:p>
            <w:pPr>
              <w:pStyle w:val="Compact"/>
              <w:spacing w:line="240" w:lineRule="auto" w:after="40"/>
              <w:jc w:val="left"/>
            </w:pPr>
            <w:r>
              <w:rPr>
                <w:sz w:val="19"/>
              </w:rPr>
              <w:t xml:space="preserve">FR-07</w:t>
            </w:r>
          </w:p>
        </w:tc>
        <w:tc>
          <w:tcPr>
            <w:tcW w:type="dxa" w:w="2598"/>
          </w:tcPr>
          <w:p>
            <w:pPr>
              <w:pStyle w:val="Compact"/>
              <w:spacing w:line="240" w:lineRule="auto" w:after="40"/>
              <w:jc w:val="left"/>
            </w:pPr>
            <w:r>
              <w:rPr>
                <w:sz w:val="19"/>
              </w:rPr>
              <w:t xml:space="preserve">Finite values; failures reported</w:t>
            </w:r>
          </w:p>
        </w:tc>
        <w:tc>
          <w:tcPr>
            <w:tcW w:type="dxa" w:w="4872"/>
          </w:tcPr>
          <w:p>
            <w:pPr>
              <w:pStyle w:val="Compact"/>
              <w:spacing w:line="240" w:lineRule="auto" w:after="40"/>
              <w:jc w:val="left"/>
            </w:pPr>
            <w:r>
              <w:rPr>
                <w:sz w:val="19"/>
              </w:rPr>
              <w:t xml:space="preserve">150 nodules processed without errors; failure rates reported per method (3–46%, Table 4.6)</w:t>
            </w:r>
          </w:p>
        </w:tc>
        <w:tc>
          <w:tcPr>
            <w:tcW w:type="dxa" w:w="779"/>
          </w:tcPr>
          <w:p>
            <w:pPr>
              <w:pStyle w:val="Compact"/>
              <w:spacing w:line="240" w:lineRule="auto" w:after="40"/>
              <w:jc w:val="left"/>
            </w:pPr>
            <w:r>
              <w:rPr>
                <w:sz w:val="19"/>
              </w:rPr>
              <w:t xml:space="preserve">Yes</w:t>
            </w:r>
          </w:p>
        </w:tc>
      </w:tr>
      <w:tr>
        <w:tc>
          <w:tcPr>
            <w:tcW w:type="dxa" w:w="779"/>
          </w:tcPr>
          <w:p>
            <w:pPr>
              <w:pStyle w:val="Compact"/>
              <w:spacing w:line="240" w:lineRule="auto" w:after="40"/>
              <w:jc w:val="left"/>
            </w:pPr>
            <w:r>
              <w:rPr>
                <w:sz w:val="19"/>
              </w:rPr>
              <w:t xml:space="preserve">FR-08</w:t>
            </w:r>
          </w:p>
        </w:tc>
        <w:tc>
          <w:tcPr>
            <w:tcW w:type="dxa" w:w="2598"/>
          </w:tcPr>
          <w:p>
            <w:pPr>
              <w:pStyle w:val="Compact"/>
              <w:spacing w:line="240" w:lineRule="auto" w:after="40"/>
              <w:jc w:val="left"/>
            </w:pPr>
            <w:r>
              <w:rPr>
                <w:sz w:val="19"/>
              </w:rPr>
              <w:t xml:space="preserve">Coverage</w:t>
            </w:r>
            <w:r>
              <w:rPr>
                <w:sz w:val="19"/>
              </w:rPr>
              <w:t xml:space="preserve"> </w:t>
            </w:r>
            <m:oMath>
              <m:r>
                <m:t>90</m:t>
              </m:r>
              <m:r>
                <m:rPr>
                  <m:sty m:val="p"/>
                </m:rPr>
                <m:t>±</m:t>
              </m:r>
              <m:r>
                <m:t>3</m:t>
              </m:r>
              <m:r>
                <m:rPr>
                  <m:sty m:val="p"/>
                </m:rPr>
                <m:t>%</m:t>
              </m:r>
            </m:oMath>
            <w:r>
              <w:rPr>
                <w:sz w:val="19"/>
              </w:rPr>
              <w:t xml:space="preserve">; Brier</w:t>
            </w:r>
            <w:r>
              <w:rPr>
                <w:sz w:val="19"/>
              </w:rPr>
              <w:t xml:space="preserve"> </w:t>
            </w:r>
            <m:oMath>
              <m:r>
                <m:rPr>
                  <m:sty m:val="p"/>
                </m:rPr>
                <m:t>&lt;</m:t>
              </m:r>
            </m:oMath>
            <w:r>
              <w:rPr>
                <w:sz w:val="19"/>
              </w:rPr>
              <w:t xml:space="preserve"> </w:t>
            </w:r>
            <w:r>
              <w:rPr>
                <w:sz w:val="19"/>
              </w:rPr>
              <w:t xml:space="preserve">vote</w:t>
            </w:r>
          </w:p>
        </w:tc>
        <w:tc>
          <w:tcPr>
            <w:tcW w:type="dxa" w:w="4872"/>
          </w:tcPr>
          <w:p>
            <w:pPr>
              <w:pStyle w:val="Compact"/>
              <w:spacing w:line="240" w:lineRule="auto" w:after="40"/>
              <w:jc w:val="left"/>
            </w:pPr>
            <w:r>
              <w:rPr>
                <w:sz w:val="19"/>
              </w:rPr>
              <w:t xml:space="preserve">Coverage 95% (volume and mass); Brier 0.174–0.234 vs 0.543 for</w:t>
            </w:r>
            <w:r>
              <w:rPr>
                <w:sz w:val="19"/>
              </w:rPr>
              <w:t xml:space="preserve"> </w:t>
            </w:r>
            <m:oMath>
              <m:r>
                <m:t>P</m:t>
              </m:r>
              <m:d>
                <m:dPr>
                  <m:begChr m:val="("/>
                  <m:endChr m:val=")"/>
                  <m:sepChr m:val=""/>
                  <m:grow/>
                </m:dPr>
                <m:e>
                  <m:r>
                    <m:t>V</m:t>
                  </m:r>
                  <m:r>
                    <m:rPr>
                      <m:sty m:val="p"/>
                    </m:rPr>
                    <m:t>≥</m:t>
                  </m:r>
                  <m:r>
                    <m:t>100</m:t>
                  </m:r>
                </m:e>
              </m:d>
            </m:oMath>
            <w:r>
              <w:rPr>
                <w:sz w:val="19"/>
              </w:rPr>
              <w:t xml:space="preserve">, 0.284 vs 0.291 for</w:t>
            </w:r>
            <w:r>
              <w:rPr>
                <w:sz w:val="19"/>
              </w:rPr>
              <w:t xml:space="preserve"> </w:t>
            </w:r>
            <m:oMath>
              <m:r>
                <m:t>P</m:t>
              </m:r>
              <m:d>
                <m:dPr>
                  <m:begChr m:val="("/>
                  <m:endChr m:val=")"/>
                  <m:sepChr m:val=""/>
                  <m:grow/>
                </m:dPr>
                <m:e>
                  <m:r>
                    <m:t>V</m:t>
                  </m:r>
                  <m:r>
                    <m:rPr>
                      <m:sty m:val="p"/>
                    </m:rPr>
                    <m:t>≥</m:t>
                  </m:r>
                  <m:r>
                    <m:t>300</m:t>
                  </m:r>
                </m:e>
              </m:d>
            </m:oMath>
          </w:p>
        </w:tc>
        <w:tc>
          <w:tcPr>
            <w:tcW w:type="dxa" w:w="779"/>
          </w:tcPr>
          <w:p>
            <w:pPr>
              <w:pStyle w:val="Compact"/>
              <w:spacing w:line="240" w:lineRule="auto" w:after="40"/>
              <w:jc w:val="left"/>
            </w:pPr>
            <w:r>
              <w:rPr>
                <w:sz w:val="19"/>
              </w:rPr>
              <w:t xml:space="preserve">Partly</w:t>
            </w:r>
          </w:p>
        </w:tc>
      </w:tr>
      <w:tr>
        <w:tc>
          <w:tcPr>
            <w:tcW w:type="dxa" w:w="779"/>
          </w:tcPr>
          <w:p>
            <w:pPr>
              <w:pStyle w:val="Compact"/>
              <w:spacing w:line="240" w:lineRule="auto" w:after="40"/>
              <w:jc w:val="left"/>
            </w:pPr>
            <w:r>
              <w:rPr>
                <w:sz w:val="19"/>
              </w:rPr>
              <w:t xml:space="preserve">FR-09</w:t>
            </w:r>
          </w:p>
        </w:tc>
        <w:tc>
          <w:tcPr>
            <w:tcW w:type="dxa" w:w="2598"/>
          </w:tcPr>
          <w:p>
            <w:pPr>
              <w:pStyle w:val="Compact"/>
              <w:spacing w:line="240" w:lineRule="auto" w:after="40"/>
              <w:jc w:val="left"/>
            </w:pPr>
            <w:r>
              <w:rPr>
                <w:sz w:val="19"/>
              </w:rPr>
              <w:t xml:space="preserve">Growth metrics reported</w:t>
            </w:r>
          </w:p>
        </w:tc>
        <w:tc>
          <w:tcPr>
            <w:tcW w:type="dxa" w:w="4872"/>
          </w:tcPr>
          <w:p>
            <w:pPr>
              <w:pStyle w:val="Compact"/>
              <w:spacing w:line="240" w:lineRule="auto" w:after="40"/>
              <w:jc w:val="left"/>
            </w:pPr>
            <w:r>
              <w:rPr>
                <w:sz w:val="19"/>
              </w:rPr>
              <w:t xml:space="preserve">Category accuracy, doubling-time error and false alarms for 40 pairs (Table 4.9)</w:t>
            </w:r>
          </w:p>
        </w:tc>
        <w:tc>
          <w:tcPr>
            <w:tcW w:type="dxa" w:w="779"/>
          </w:tcPr>
          <w:p>
            <w:pPr>
              <w:pStyle w:val="Compact"/>
              <w:spacing w:line="240" w:lineRule="auto" w:after="40"/>
              <w:jc w:val="left"/>
            </w:pPr>
            <w:r>
              <w:rPr>
                <w:sz w:val="19"/>
              </w:rPr>
              <w:t xml:space="preserve">Yes</w:t>
            </w:r>
          </w:p>
        </w:tc>
      </w:tr>
      <w:tr>
        <w:tc>
          <w:tcPr>
            <w:tcW w:type="dxa" w:w="779"/>
          </w:tcPr>
          <w:p>
            <w:pPr>
              <w:pStyle w:val="Compact"/>
              <w:spacing w:line="240" w:lineRule="auto" w:after="40"/>
              <w:jc w:val="left"/>
            </w:pPr>
            <w:r>
              <w:rPr>
                <w:sz w:val="19"/>
              </w:rPr>
              <w:t xml:space="preserve">FR-10</w:t>
            </w:r>
          </w:p>
        </w:tc>
        <w:tc>
          <w:tcPr>
            <w:tcW w:type="dxa" w:w="2598"/>
          </w:tcPr>
          <w:p>
            <w:pPr>
              <w:pStyle w:val="Compact"/>
              <w:spacing w:line="240" w:lineRule="auto" w:after="40"/>
              <w:jc w:val="left"/>
            </w:pPr>
            <w:r>
              <w:rPr>
                <w:sz w:val="19"/>
              </w:rPr>
              <w:t xml:space="preserve">Explanation outputs</w:t>
            </w:r>
          </w:p>
        </w:tc>
        <w:tc>
          <w:tcPr>
            <w:tcW w:type="dxa" w:w="4872"/>
          </w:tcPr>
          <w:p>
            <w:pPr>
              <w:pStyle w:val="Compact"/>
              <w:spacing w:line="240" w:lineRule="auto" w:after="40"/>
              <w:jc w:val="left"/>
            </w:pPr>
            <w:r>
              <w:rPr>
                <w:sz w:val="19"/>
              </w:rPr>
              <w:t xml:space="preserve">Seen/unseen, saliency and error-driver tables on 30 test nodules</w:t>
            </w:r>
          </w:p>
        </w:tc>
        <w:tc>
          <w:tcPr>
            <w:tcW w:type="dxa" w:w="779"/>
          </w:tcPr>
          <w:p>
            <w:pPr>
              <w:pStyle w:val="Compact"/>
              <w:spacing w:line="240" w:lineRule="auto" w:after="40"/>
              <w:jc w:val="left"/>
            </w:pPr>
            <w:r>
              <w:rPr>
                <w:sz w:val="19"/>
              </w:rPr>
              <w:t xml:space="preserve">Yes</w:t>
            </w:r>
          </w:p>
        </w:tc>
      </w:tr>
      <w:tr>
        <w:tc>
          <w:tcPr>
            <w:tcW w:type="dxa" w:w="779"/>
          </w:tcPr>
          <w:p>
            <w:pPr>
              <w:pStyle w:val="Compact"/>
              <w:spacing w:line="240" w:lineRule="auto" w:after="40"/>
              <w:jc w:val="left"/>
            </w:pPr>
            <w:r>
              <w:rPr>
                <w:sz w:val="19"/>
              </w:rPr>
              <w:t xml:space="preserve">FR-11</w:t>
            </w:r>
          </w:p>
        </w:tc>
        <w:tc>
          <w:tcPr>
            <w:tcW w:type="dxa" w:w="2598"/>
          </w:tcPr>
          <w:p>
            <w:pPr>
              <w:pStyle w:val="Compact"/>
              <w:spacing w:line="240" w:lineRule="auto" w:after="40"/>
              <w:jc w:val="left"/>
            </w:pPr>
            <w:r>
              <w:rPr>
                <w:sz w:val="19"/>
              </w:rPr>
              <w:t xml:space="preserve">Demo self-test; report</w:t>
            </w:r>
          </w:p>
        </w:tc>
        <w:tc>
          <w:tcPr>
            <w:tcW w:type="dxa" w:w="4872"/>
          </w:tcPr>
          <w:p>
            <w:pPr>
              <w:pStyle w:val="Compact"/>
              <w:spacing w:line="240" w:lineRule="auto" w:after="40"/>
              <w:jc w:val="left"/>
            </w:pPr>
            <w:r>
              <w:rPr>
                <w:sz w:val="19"/>
              </w:rPr>
              <w:t xml:space="preserve">Demo served from Kaggle; HTML report with 13 checked steps</w:t>
            </w:r>
          </w:p>
        </w:tc>
        <w:tc>
          <w:tcPr>
            <w:tcW w:type="dxa" w:w="779"/>
          </w:tcPr>
          <w:p>
            <w:pPr>
              <w:pStyle w:val="Compact"/>
              <w:spacing w:line="240" w:lineRule="auto" w:after="40"/>
              <w:jc w:val="left"/>
            </w:pPr>
            <w:r>
              <w:rPr>
                <w:sz w:val="19"/>
              </w:rPr>
              <w:t xml:space="preserve">Yes</w:t>
            </w:r>
          </w:p>
        </w:tc>
      </w:tr>
      <w:tr>
        <w:tc>
          <w:tcPr>
            <w:tcW w:type="dxa" w:w="779"/>
          </w:tcPr>
          <w:p>
            <w:pPr>
              <w:pStyle w:val="Compact"/>
              <w:spacing w:line="240" w:lineRule="auto" w:after="40"/>
              <w:jc w:val="left"/>
            </w:pPr>
            <w:r>
              <w:rPr>
                <w:sz w:val="19"/>
              </w:rPr>
              <w:t xml:space="preserve">NFR-01</w:t>
            </w:r>
          </w:p>
        </w:tc>
        <w:tc>
          <w:tcPr>
            <w:tcW w:type="dxa" w:w="2598"/>
          </w:tcPr>
          <w:p>
            <w:pPr>
              <w:pStyle w:val="Compact"/>
              <w:spacing w:line="240" w:lineRule="auto" w:after="40"/>
              <w:jc w:val="left"/>
            </w:pPr>
            <m:oMath>
              <m:r>
                <m:rPr>
                  <m:sty m:val="p"/>
                </m:rPr>
                <m:t>≤</m:t>
              </m:r>
              <m:r>
                <m:t>60</m:t>
              </m:r>
            </m:oMath>
            <w:r>
              <w:rPr>
                <w:sz w:val="19"/>
              </w:rPr>
              <w:t xml:space="preserve"> s per nodule</w:t>
            </w:r>
          </w:p>
        </w:tc>
        <w:tc>
          <w:tcPr>
            <w:tcW w:type="dxa" w:w="4872"/>
          </w:tcPr>
          <w:p>
            <w:pPr>
              <w:pStyle w:val="Compact"/>
              <w:spacing w:line="240" w:lineRule="auto" w:after="40"/>
              <w:jc w:val="left"/>
            </w:pPr>
            <w:r>
              <w:rPr>
                <w:sz w:val="19"/>
              </w:rPr>
              <w:t xml:space="preserve">Median 45.5 s per nodule for all five methods together on the L40S</w:t>
            </w:r>
          </w:p>
        </w:tc>
        <w:tc>
          <w:tcPr>
            <w:tcW w:type="dxa" w:w="779"/>
          </w:tcPr>
          <w:p>
            <w:pPr>
              <w:pStyle w:val="Compact"/>
              <w:spacing w:line="240" w:lineRule="auto" w:after="40"/>
              <w:jc w:val="left"/>
            </w:pPr>
            <w:r>
              <w:rPr>
                <w:sz w:val="19"/>
              </w:rPr>
              <w:t xml:space="preserve">Yes</w:t>
            </w:r>
          </w:p>
        </w:tc>
      </w:tr>
      <w:tr>
        <w:tc>
          <w:tcPr>
            <w:tcW w:type="dxa" w:w="779"/>
          </w:tcPr>
          <w:p>
            <w:pPr>
              <w:pStyle w:val="Compact"/>
              <w:spacing w:line="240" w:lineRule="auto" w:after="40"/>
              <w:jc w:val="left"/>
            </w:pPr>
            <w:r>
              <w:rPr>
                <w:sz w:val="19"/>
              </w:rPr>
              <w:t xml:space="preserve">NFR-02</w:t>
            </w:r>
          </w:p>
        </w:tc>
        <w:tc>
          <w:tcPr>
            <w:tcW w:type="dxa" w:w="2598"/>
          </w:tcPr>
          <w:p>
            <w:pPr>
              <w:pStyle w:val="Compact"/>
              <w:spacing w:line="240" w:lineRule="auto" w:after="40"/>
              <w:jc w:val="left"/>
            </w:pPr>
            <m:oMath>
              <m:r>
                <m:rPr>
                  <m:sty m:val="p"/>
                </m:rPr>
                <m:t>≤</m:t>
              </m:r>
            </m:oMath>
            <w:r>
              <w:rPr>
                <w:sz w:val="19"/>
              </w:rPr>
              <w:t xml:space="preserve"> </w:t>
            </w:r>
            <w:r>
              <w:rPr>
                <w:sz w:val="19"/>
              </w:rPr>
              <w:t xml:space="preserve">US$50</w:t>
            </w:r>
          </w:p>
        </w:tc>
        <w:tc>
          <w:tcPr>
            <w:tcW w:type="dxa" w:w="4872"/>
          </w:tcPr>
          <w:p>
            <w:pPr>
              <w:pStyle w:val="Compact"/>
              <w:spacing w:line="240" w:lineRule="auto" w:after="40"/>
              <w:jc w:val="left"/>
            </w:pPr>
            <w:r>
              <w:rPr>
                <w:sz w:val="19"/>
              </w:rPr>
              <w:t xml:space="preserve">about US$20 for the full run</w:t>
            </w:r>
          </w:p>
        </w:tc>
        <w:tc>
          <w:tcPr>
            <w:tcW w:type="dxa" w:w="779"/>
          </w:tcPr>
          <w:p>
            <w:pPr>
              <w:pStyle w:val="Compact"/>
              <w:spacing w:line="240" w:lineRule="auto" w:after="40"/>
              <w:jc w:val="left"/>
            </w:pPr>
            <w:r>
              <w:rPr>
                <w:sz w:val="19"/>
              </w:rPr>
              <w:t xml:space="preserve">Yes</w:t>
            </w:r>
          </w:p>
        </w:tc>
      </w:tr>
      <w:tr>
        <w:tc>
          <w:tcPr>
            <w:tcW w:type="dxa" w:w="779"/>
          </w:tcPr>
          <w:p>
            <w:pPr>
              <w:pStyle w:val="Compact"/>
              <w:spacing w:line="240" w:lineRule="auto" w:after="40"/>
              <w:jc w:val="left"/>
            </w:pPr>
            <w:r>
              <w:rPr>
                <w:sz w:val="19"/>
              </w:rPr>
              <w:t xml:space="preserve">NFR-03</w:t>
            </w:r>
          </w:p>
        </w:tc>
        <w:tc>
          <w:tcPr>
            <w:tcW w:type="dxa" w:w="2598"/>
          </w:tcPr>
          <w:p>
            <w:pPr>
              <w:pStyle w:val="Compact"/>
              <w:spacing w:line="240" w:lineRule="auto" w:after="40"/>
              <w:jc w:val="left"/>
            </w:pPr>
            <w:r>
              <w:rPr>
                <w:sz w:val="19"/>
              </w:rPr>
              <w:t xml:space="preserve">Reproducible, checkable</w:t>
            </w:r>
          </w:p>
        </w:tc>
        <w:tc>
          <w:tcPr>
            <w:tcW w:type="dxa" w:w="4872"/>
          </w:tcPr>
          <w:p>
            <w:pPr>
              <w:pStyle w:val="Compact"/>
              <w:spacing w:line="240" w:lineRule="auto" w:after="40"/>
              <w:jc w:val="left"/>
            </w:pPr>
            <w:r>
              <w:rPr>
                <w:sz w:val="19"/>
              </w:rPr>
              <w:t xml:space="preserve">Fixed seed, one configuration, 69 tests, PASS/FAIL logs</w:t>
            </w:r>
          </w:p>
        </w:tc>
        <w:tc>
          <w:tcPr>
            <w:tcW w:type="dxa" w:w="779"/>
          </w:tcPr>
          <w:p>
            <w:pPr>
              <w:pStyle w:val="Compact"/>
              <w:spacing w:line="240" w:lineRule="auto" w:after="40"/>
              <w:jc w:val="left"/>
            </w:pPr>
            <w:r>
              <w:rPr>
                <w:sz w:val="19"/>
              </w:rPr>
              <w:t xml:space="preserve">Yes</w:t>
            </w:r>
          </w:p>
        </w:tc>
      </w:tr>
      <w:tr>
        <w:tc>
          <w:tcPr>
            <w:tcW w:type="dxa" w:w="779"/>
          </w:tcPr>
          <w:p>
            <w:pPr>
              <w:pStyle w:val="Compact"/>
              <w:spacing w:line="240" w:lineRule="auto" w:after="40"/>
              <w:jc w:val="left"/>
            </w:pPr>
            <w:r>
              <w:rPr>
                <w:sz w:val="19"/>
              </w:rPr>
              <w:t xml:space="preserve">NFR-04</w:t>
            </w:r>
          </w:p>
        </w:tc>
        <w:tc>
          <w:tcPr>
            <w:tcW w:type="dxa" w:w="2598"/>
          </w:tcPr>
          <w:p>
            <w:pPr>
              <w:pStyle w:val="Compact"/>
              <w:spacing w:line="240" w:lineRule="auto" w:after="40"/>
              <w:jc w:val="left"/>
            </w:pPr>
            <w:r>
              <w:rPr>
                <w:sz w:val="19"/>
              </w:rPr>
              <w:t xml:space="preserve">No optimistic bias</w:t>
            </w:r>
          </w:p>
        </w:tc>
        <w:tc>
          <w:tcPr>
            <w:tcW w:type="dxa" w:w="4872"/>
          </w:tcPr>
          <w:p>
            <w:pPr>
              <w:pStyle w:val="Compact"/>
              <w:spacing w:line="240" w:lineRule="auto" w:after="40"/>
              <w:jc w:val="left"/>
            </w:pPr>
            <w:r>
              <w:rPr>
                <w:sz w:val="19"/>
              </w:rPr>
              <w:t xml:space="preserve">Test patients unused until final tables; separate simulation and reconstruction grids</w:t>
            </w:r>
          </w:p>
        </w:tc>
        <w:tc>
          <w:tcPr>
            <w:tcW w:type="dxa" w:w="779"/>
          </w:tcPr>
          <w:p>
            <w:pPr>
              <w:pStyle w:val="Compact"/>
              <w:spacing w:line="240" w:lineRule="auto" w:after="40"/>
              <w:jc w:val="left"/>
            </w:pPr>
            <w:r>
              <w:rPr>
                <w:sz w:val="19"/>
              </w:rPr>
              <w:t xml:space="preserve">Yes</w:t>
            </w:r>
          </w:p>
        </w:tc>
      </w:tr>
      <w:tr>
        <w:tc>
          <w:tcPr>
            <w:tcW w:type="dxa" w:w="779"/>
          </w:tcPr>
          <w:p>
            <w:pPr>
              <w:pStyle w:val="Compact"/>
              <w:spacing w:line="240" w:lineRule="auto" w:after="40"/>
              <w:jc w:val="left"/>
            </w:pPr>
            <w:r>
              <w:rPr>
                <w:sz w:val="19"/>
              </w:rPr>
              <w:t xml:space="preserve">NFR-05</w:t>
            </w:r>
          </w:p>
        </w:tc>
        <w:tc>
          <w:tcPr>
            <w:tcW w:type="dxa" w:w="2598"/>
          </w:tcPr>
          <w:p>
            <w:pPr>
              <w:pStyle w:val="Compact"/>
              <w:spacing w:line="240" w:lineRule="auto" w:after="40"/>
              <w:jc w:val="left"/>
            </w:pPr>
            <w:r>
              <w:rPr>
                <w:sz w:val="19"/>
              </w:rPr>
              <w:t xml:space="preserve">No bare numbers</w:t>
            </w:r>
          </w:p>
        </w:tc>
        <w:tc>
          <w:tcPr>
            <w:tcW w:type="dxa" w:w="4872"/>
          </w:tcPr>
          <w:p>
            <w:pPr>
              <w:pStyle w:val="Compact"/>
              <w:spacing w:line="240" w:lineRule="auto" w:after="40"/>
              <w:jc w:val="left"/>
            </w:pPr>
            <w:r>
              <w:rPr>
                <w:sz w:val="19"/>
              </w:rPr>
              <w:t xml:space="preserve">Every value has an interval and a low-confidence flag</w:t>
            </w:r>
          </w:p>
        </w:tc>
        <w:tc>
          <w:tcPr>
            <w:tcW w:type="dxa" w:w="779"/>
          </w:tcPr>
          <w:p>
            <w:pPr>
              <w:pStyle w:val="Compact"/>
              <w:spacing w:line="240" w:lineRule="auto" w:after="40"/>
              <w:jc w:val="left"/>
            </w:pPr>
            <w:r>
              <w:rPr>
                <w:sz w:val="19"/>
              </w:rPr>
              <w:t xml:space="preserve">Yes</w:t>
            </w:r>
          </w:p>
        </w:tc>
      </w:tr>
    </w:tbl>
    <w:bookmarkEnd w:id="122"/>
    <w:bookmarkStart w:id="123" w:name="issues-found-and-fixed"/>
    <w:p>
      <w:pPr>
        <w:pStyle w:val="Heading3"/>
      </w:pPr>
      <w:r>
        <w:t xml:space="preserve">4.2.5 Issues Found and Fixed</w:t>
      </w:r>
    </w:p>
    <w:p>
      <w:pPr>
        <w:pStyle w:val="FirstParagraph"/>
      </w:pPr>
      <w:r>
        <w:t xml:space="preserve">(1) Without a depth support, SIRT placed attenuation in the air around the patient and the prism lost a third of its attenuation as false background; fixed by confining SIRT to the patient. (2) The training-free detector mostly found end-on vessels (recall in the top 10 of 6% in the pilot); replaced by the learned detector. (3) A first CPS implementation capped probabilities at</w:t>
      </w:r>
      <w:r>
        <w:t xml:space="preserve"> </w:t>
      </w:r>
      <m:oMath>
        <m:r>
          <m:t>n</m:t>
        </m:r>
        <m:r>
          <m:rPr>
            <m:sty m:val="p"/>
          </m:rPr>
          <m:t>/</m:t>
        </m:r>
        <m:d>
          <m:dPr>
            <m:begChr m:val="("/>
            <m:endChr m:val=")"/>
            <m:sepChr m:val=""/>
            <m:grow/>
          </m:dPr>
          <m:e>
            <m:r>
              <m:t>n</m:t>
            </m:r>
            <m:r>
              <m:rPr>
                <m:sty m:val="p"/>
              </m:rPr>
              <m:t>+</m:t>
            </m:r>
            <m:r>
              <m:t>1</m:t>
            </m:r>
          </m:e>
        </m:d>
      </m:oMath>
      <w:r>
        <w:t xml:space="preserve">; fixed with the smoothed mid-point p-value and verified against crepes. (4) In step 10 the asymmetric split-conformal upper bound for some methods became effectively unbounded because calibration nodules where a method found nothing (measured volume</w:t>
      </w:r>
      <w:r>
        <w:t xml:space="preserve"> </w:t>
      </w:r>
      <m:oMath>
        <m:r>
          <m:rPr>
            <m:sty m:val="p"/>
          </m:rPr>
          <m:t>≈</m:t>
        </m:r>
        <m:r>
          <m:t>0</m:t>
        </m:r>
      </m:oMath>
      <w:r>
        <w:t xml:space="preserve">) produce unbounded log-ratios. This is not fixed in the reported results; its effect on the interval widths is analysed in Section 4.3, and the fix (calibrating only measurable cases) is listed as future work. (5) Three checks of the full run failed and are reported, not hidden: the H1 and H2 checks of step 10 (the hypotheses were not supported) and the virtual-growth construction check of step 11 (7.5% deviation against a 3% limit, caused by vessels near the nodule inside the mass window).</w:t>
      </w:r>
    </w:p>
    <w:bookmarkEnd w:id="123"/>
    <w:bookmarkEnd w:id="124"/>
    <w:bookmarkStart w:id="191" w:name="results-and-discussion"/>
    <w:p>
      <w:pPr>
        <w:pStyle w:val="Heading2"/>
      </w:pPr>
      <w:r>
        <w:t xml:space="preserve">4.3 Results and Discussion</w:t>
      </w:r>
    </w:p>
    <w:p>
      <w:pPr>
        <w:pStyle w:val="FirstParagraph"/>
      </w:pPr>
      <w:r>
        <w:t xml:space="preserve">The results are presented in the order of the pipeline: the training and fit of the diffusion prior, nodule detection, measurement accuracy (H1, H2), calibrated uncertainty (H3, H5), growth (H4) and explainability (H6), followed by a discussion of why the measurements failed, the sensitivity to the acquisition geometry, and the run time and cost. The measurement results use 150 nodules (76 calibration, 74 test); detection uses all 225 test nodules.</w:t>
      </w:r>
    </w:p>
    <w:bookmarkStart w:id="131" w:name="diffusion-prior-training-and-fit"/>
    <w:p>
      <w:pPr>
        <w:pStyle w:val="Heading3"/>
      </w:pPr>
      <w:r>
        <w:t xml:space="preserve">4.3.1 Diffusion Prior Training and Fit</w:t>
      </w:r>
    </w:p>
    <w:p>
      <w:pPr>
        <w:pStyle w:val="FirstParagraph"/>
      </w:pPr>
      <w:r>
        <w:t xml:space="preserve">The prior was trained on 2,522 pairs (265 held out) for 27,610 steps within its 6-hour budget (batch 8, about 0.77 s per step); the loss fell from 0.1186 to 0.0476 (last 10% vs first 10% of steps). On held-out pairs its samples reached 15.23 dB PSNR in the nodule box against 11.88 dB for the physics-only input (+3.35 dB) and 13.74 vs 10.16 dB over the whole prism (Figure 4.6). The fit check (Figure 4.7) gives two messages. The denoising loss at fixed noise levels was nearly the same on training and held-out pairs (0.0342 vs 0.0331, ratio 0.97), so the network did not memorise its inputs; but the sample quality gain was larger on training patients than on held-out ones (+7.00 vs +4.22 dB), so its samples are better for patients it has seen. The held-out gain was still rising at the end (+1.89 to +3.35 dB over the last checks), so the prior is also under-trained.</w:t>
      </w:r>
    </w:p>
    <w:p>
      <w:pPr>
        <w:pStyle w:val="BodyText"/>
        <w:jc w:val="center"/>
      </w:pPr>
      <w:r>
        <w:drawing>
          <wp:inline>
            <wp:extent cx="4056610" cy="6384174"/>
            <wp:effectExtent b="0" l="0" r="0" t="0"/>
            <wp:docPr descr="image" title="" id="126" name="Picture"/>
            <a:graphic>
              <a:graphicData uri="http://schemas.openxmlformats.org/drawingml/2006/picture">
                <pic:pic>
                  <pic:nvPicPr>
                    <pic:cNvPr descr="/home/user/medlift3d/report/figures/results/diffusion_sample.png" id="127" name="Picture"/>
                    <pic:cNvPicPr>
                      <a:picLocks noChangeArrowheads="1" noChangeAspect="1"/>
                    </pic:cNvPicPr>
                  </pic:nvPicPr>
                  <pic:blipFill>
                    <a:blip r:embed="rId125"/>
                    <a:stretch>
                      <a:fillRect/>
                    </a:stretch>
                  </pic:blipFill>
                  <pic:spPr bwMode="auto">
                    <a:xfrm>
                      <a:off x="0" y="0"/>
                      <a:ext cx="4056610" cy="6384174"/>
                    </a:xfrm>
                    <a:prstGeom prst="rect">
                      <a:avLst/>
                    </a:prstGeom>
                    <a:noFill/>
                    <a:ln w="9525">
                      <a:noFill/>
                      <a:headEnd/>
                      <a:tailEnd/>
                    </a:ln>
                  </pic:spPr>
                </pic:pic>
              </a:graphicData>
            </a:graphic>
          </wp:inline>
        </w:drawing>
      </w:r>
    </w:p>
    <w:p>
      <w:pPr>
        <w:pStyle w:val="BodyText"/>
        <w:jc w:val="center"/>
      </w:pPr>
      <w:r>
        <w:rPr>
          <w:bCs/>
          <w:b/>
          <w:iCs/>
          <w:i/>
          <w:sz w:val="20"/>
        </w:rPr>
        <w:t xml:space="preserve">Figure 4.6:</w:t>
      </w:r>
      <w:r>
        <w:rPr>
          <w:iCs/>
          <w:i/>
          <w:sz w:val="20"/>
        </w:rPr>
        <w:t xml:space="preserve"> </w:t>
      </w:r>
      <w:r>
        <w:rPr>
          <w:iCs/>
          <w:i/>
          <w:sz w:val="20"/>
        </w:rPr>
        <w:t xml:space="preserve">A held-out training pair at the end of training: DTS condition (top), diffusion sample (middle) and CT (bottom), coronal and sagittal (depth) views. The sample has realistic anatomy and sharp depth structure.</w:t>
      </w:r>
    </w:p>
    <w:p>
      <w:pPr>
        <w:pStyle w:val="BodyText"/>
        <w:jc w:val="center"/>
      </w:pPr>
      <w:r>
        <w:drawing>
          <wp:inline>
            <wp:extent cx="5334000" cy="3556000"/>
            <wp:effectExtent b="0" l="0" r="0" t="0"/>
            <wp:docPr descr="image" title="" id="129" name="Picture"/>
            <a:graphic>
              <a:graphicData uri="http://schemas.openxmlformats.org/drawingml/2006/picture">
                <pic:pic>
                  <pic:nvPicPr>
                    <pic:cNvPr descr="/home/user/medlift3d/report/figures/results/fit_curves.png" id="130" name="Picture"/>
                    <pic:cNvPicPr>
                      <a:picLocks noChangeArrowheads="1" noChangeAspect="1"/>
                    </pic:cNvPicPr>
                  </pic:nvPicPr>
                  <pic:blipFill>
                    <a:blip r:embed="rId128"/>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jc w:val="center"/>
      </w:pPr>
      <w:r>
        <w:rPr>
          <w:bCs/>
          <w:b/>
          <w:iCs/>
          <w:i/>
          <w:sz w:val="20"/>
        </w:rPr>
        <w:t xml:space="preserve">Figure 4.7:</w:t>
      </w:r>
      <w:r>
        <w:rPr>
          <w:iCs/>
          <w:i/>
          <w:sz w:val="20"/>
        </w:rPr>
        <w:t xml:space="preserve"> </w:t>
      </w:r>
      <w:r>
        <w:rPr>
          <w:iCs/>
          <w:i/>
          <w:sz w:val="20"/>
        </w:rPr>
        <w:t xml:space="preserve">Fit check (step 15): training loss and validation of the diffusion prior (top) and of the detector (bottom).</w:t>
      </w:r>
    </w:p>
    <w:bookmarkEnd w:id="131"/>
    <w:bookmarkStart w:id="135" w:name="nodule-detection"/>
    <w:p>
      <w:pPr>
        <w:pStyle w:val="Heading3"/>
      </w:pPr>
      <w:r>
        <w:t xml:space="preserve">4.3.2 Nodule Detection</w:t>
      </w:r>
    </w:p>
    <w:p>
      <w:pPr>
        <w:pStyle w:val="FirstParagraph"/>
        <w:jc w:val="center"/>
      </w:pPr>
      <w:r>
        <w:rPr>
          <w:bCs/>
          <w:b/>
          <w:iCs/>
          <w:i/>
          <w:sz w:val="20"/>
        </w:rPr>
        <w:t xml:space="preserve">Table 4.5:</w:t>
      </w:r>
      <w:r>
        <w:rPr>
          <w:iCs/>
          <w:i/>
          <w:sz w:val="20"/>
        </w:rPr>
        <w:t xml:space="preserve"> </w:t>
      </w:r>
      <w:r>
        <w:rPr>
          <w:iCs/>
          <w:i/>
          <w:sz w:val="20"/>
        </w:rPr>
        <w:t xml:space="preserve">Nodule detection on the 116 test patients (225 nodules).</w:t>
      </w:r>
    </w:p>
    <w:tbl>
      <w:tblPr>
        <w:tblStyle w:val="Table"/>
        <w:tblW w:type="auto" w:w="0"/>
        <w:tblLook w:firstRow="1" w:lastRow="0" w:firstColumn="0" w:lastColumn="0" w:noHBand="0" w:noVBand="0" w:val="0020"/>
        <w:jc w:val="start"/>
        <w:tblBorders>
          <w:top w:val="single" w:sz="12" w:color="000000"/>
          <w:bottom w:val="single" w:sz="12" w:color="000000"/>
          <w:insideH w:val="single" w:sz="6" w:color="808080"/>
        </w:tblBorders>
      </w:tblPr>
      <w:tblGrid>
        <w:gridCol w:w="3678"/>
        <w:gridCol w:w="668"/>
        <w:gridCol w:w="3344"/>
        <w:gridCol w:w="1337"/>
      </w:tblGrid>
      <w:tr>
        <w:trPr>
          <w:tblHeader w:val="true"/>
        </w:trPr>
        <w:tc>
          <w:tcPr>
            <w:tcW w:type="dxa" w:w="3678"/>
          </w:tcPr>
          <w:p>
            <w:pPr>
              <w:pStyle w:val="Compact"/>
              <w:spacing w:line="240" w:lineRule="auto" w:after="40"/>
              <w:jc w:val="left"/>
            </w:pPr>
            <w:r>
              <w:rPr>
                <w:b/>
                <w:sz w:val="19"/>
              </w:rPr>
              <w:t xml:space="preserve">Detector</w:t>
            </w:r>
          </w:p>
        </w:tc>
        <w:tc>
          <w:tcPr>
            <w:tcW w:type="dxa" w:w="669"/>
          </w:tcPr>
          <w:p>
            <w:pPr>
              <w:pStyle w:val="Compact"/>
              <w:spacing w:line="240" w:lineRule="auto" w:after="40"/>
              <w:jc w:val="center"/>
            </w:pPr>
            <w:r>
              <w:rPr>
                <w:b/>
                <w:sz w:val="19"/>
              </w:rPr>
              <w:t xml:space="preserve">CPM</w:t>
            </w:r>
          </w:p>
        </w:tc>
        <w:tc>
          <w:tcPr>
            <w:tcW w:type="dxa" w:w="3344"/>
          </w:tcPr>
          <w:p>
            <w:pPr>
              <w:pStyle w:val="Compact"/>
              <w:spacing w:line="240" w:lineRule="auto" w:after="40"/>
              <w:jc w:val="center"/>
            </w:pPr>
            <w:r>
              <w:rPr>
                <w:b/>
                <w:sz w:val="19"/>
              </w:rPr>
              <w:t xml:space="preserve">Sensitivity at 1 / 2 / 4 / 8 FP per scan</w:t>
            </w:r>
          </w:p>
        </w:tc>
        <w:tc>
          <w:tcPr>
            <w:tcW w:type="dxa" w:w="1338"/>
          </w:tcPr>
          <w:p>
            <w:pPr>
              <w:pStyle w:val="Compact"/>
              <w:spacing w:line="240" w:lineRule="auto" w:after="40"/>
              <w:jc w:val="center"/>
            </w:pPr>
            <w:r>
              <w:rPr>
                <w:b/>
                <w:sz w:val="19"/>
              </w:rPr>
              <w:t xml:space="preserve">Recall in top 10</w:t>
            </w:r>
          </w:p>
        </w:tc>
      </w:tr>
      <w:tr>
        <w:tc>
          <w:tcPr>
            <w:tcW w:type="dxa" w:w="3678"/>
          </w:tcPr>
          <w:p>
            <w:pPr>
              <w:pStyle w:val="Compact"/>
              <w:spacing w:line="240" w:lineRule="auto" w:after="40"/>
              <w:jc w:val="left"/>
            </w:pPr>
            <w:r>
              <w:rPr>
                <w:sz w:val="19"/>
              </w:rPr>
              <w:t xml:space="preserve">Learned 3D U-Net (ours)</w:t>
            </w:r>
          </w:p>
        </w:tc>
        <w:tc>
          <w:tcPr>
            <w:tcW w:type="dxa" w:w="669"/>
          </w:tcPr>
          <w:p>
            <w:pPr>
              <w:pStyle w:val="Compact"/>
              <w:spacing w:line="240" w:lineRule="auto" w:after="40"/>
              <w:jc w:val="center"/>
            </w:pPr>
            <w:r>
              <w:rPr>
                <w:bCs/>
                <w:b/>
                <w:sz w:val="19"/>
              </w:rPr>
              <w:t xml:space="preserve">0.298</w:t>
            </w:r>
          </w:p>
        </w:tc>
        <w:tc>
          <w:tcPr>
            <w:tcW w:type="dxa" w:w="3344"/>
          </w:tcPr>
          <w:p>
            <w:pPr>
              <w:pStyle w:val="Compact"/>
              <w:spacing w:line="240" w:lineRule="auto" w:after="40"/>
              <w:jc w:val="center"/>
            </w:pPr>
            <w:r>
              <w:rPr>
                <w:sz w:val="19"/>
              </w:rPr>
              <w:t xml:space="preserve">28% / 35% / 40% / 46%</w:t>
            </w:r>
          </w:p>
        </w:tc>
        <w:tc>
          <w:tcPr>
            <w:tcW w:type="dxa" w:w="1338"/>
          </w:tcPr>
          <w:p>
            <w:pPr>
              <w:pStyle w:val="Compact"/>
              <w:spacing w:line="240" w:lineRule="auto" w:after="40"/>
              <w:jc w:val="center"/>
            </w:pPr>
            <w:r>
              <w:rPr>
                <w:bCs/>
                <w:b/>
                <w:sz w:val="19"/>
              </w:rPr>
              <w:t xml:space="preserve">48%</w:t>
            </w:r>
          </w:p>
        </w:tc>
      </w:tr>
      <w:tr>
        <w:tc>
          <w:tcPr>
            <w:tcW w:type="dxa" w:w="3678"/>
          </w:tcPr>
          <w:p>
            <w:pPr>
              <w:pStyle w:val="Compact"/>
              <w:spacing w:line="240" w:lineRule="auto" w:after="40"/>
              <w:jc w:val="left"/>
            </w:pPr>
            <w:r>
              <w:rPr>
                <w:sz w:val="19"/>
              </w:rPr>
              <w:t xml:space="preserve">Training-free LoG + Hessian</w:t>
            </w:r>
          </w:p>
        </w:tc>
        <w:tc>
          <w:tcPr>
            <w:tcW w:type="dxa" w:w="669"/>
          </w:tcPr>
          <w:p>
            <w:pPr>
              <w:pStyle w:val="Compact"/>
              <w:spacing w:line="240" w:lineRule="auto" w:after="40"/>
              <w:jc w:val="center"/>
            </w:pPr>
            <w:r>
              <w:rPr>
                <w:sz w:val="19"/>
              </w:rPr>
              <w:t xml:space="preserve">0.017</w:t>
            </w:r>
          </w:p>
        </w:tc>
        <w:tc>
          <w:tcPr>
            <w:tcW w:type="dxa" w:w="3344"/>
          </w:tcPr>
          <w:p>
            <w:pPr>
              <w:pStyle w:val="Compact"/>
              <w:spacing w:line="240" w:lineRule="auto" w:after="40"/>
              <w:jc w:val="center"/>
            </w:pPr>
            <w:r>
              <w:rPr>
                <w:sz w:val="19"/>
              </w:rPr>
              <w:t xml:space="preserve">0% / 1% / 3% / 7%</w:t>
            </w:r>
          </w:p>
        </w:tc>
        <w:tc>
          <w:tcPr>
            <w:tcW w:type="dxa" w:w="1338"/>
          </w:tcPr>
          <w:p>
            <w:pPr>
              <w:pStyle w:val="Compact"/>
              <w:spacing w:line="240" w:lineRule="auto" w:after="40"/>
              <w:jc w:val="center"/>
            </w:pPr>
            <w:r>
              <w:rPr>
                <w:sz w:val="19"/>
              </w:rPr>
              <w:t xml:space="preserve">8%</w:t>
            </w:r>
          </w:p>
        </w:tc>
      </w:tr>
      <w:tr>
        <w:tc>
          <w:tcPr>
            <w:tcW w:type="dxa" w:w="3678"/>
          </w:tcPr>
          <w:p>
            <w:pPr>
              <w:pStyle w:val="Compact"/>
              <w:spacing w:line="240" w:lineRule="auto" w:after="40"/>
              <w:jc w:val="left"/>
            </w:pPr>
            <w:r>
              <w:rPr>
                <w:sz w:val="19"/>
              </w:rPr>
              <w:t xml:space="preserve">Learned, in-plane position only (diagnostic)</w:t>
            </w:r>
          </w:p>
        </w:tc>
        <w:tc>
          <w:tcPr>
            <w:tcW w:type="dxa" w:w="669"/>
          </w:tcPr>
          <w:p>
            <w:pPr>
              <w:pStyle w:val="Compact"/>
              <w:spacing w:line="240" w:lineRule="auto" w:after="40"/>
              <w:jc w:val="center"/>
            </w:pPr>
            <w:r>
              <w:rPr>
                <w:sz w:val="19"/>
              </w:rPr>
              <w:t xml:space="preserve">0.300</w:t>
            </w:r>
          </w:p>
        </w:tc>
        <w:tc>
          <w:tcPr>
            <w:tcW w:type="dxa" w:w="3344"/>
          </w:tcPr>
          <w:p>
            <w:pPr>
              <w:pStyle w:val="Compact"/>
              <w:spacing w:line="240" w:lineRule="auto" w:after="40"/>
              <w:jc w:val="center"/>
            </w:pPr>
            <w:r>
              <w:rPr>
                <w:sz w:val="19"/>
              </w:rPr>
              <w:t xml:space="preserve">28% / 35% / 40% / 47%</w:t>
            </w:r>
          </w:p>
        </w:tc>
        <w:tc>
          <w:tcPr>
            <w:tcW w:type="dxa" w:w="1338"/>
          </w:tcPr>
          <w:p>
            <w:pPr>
              <w:pStyle w:val="Compact"/>
              <w:spacing w:line="240" w:lineRule="auto" w:after="40"/>
              <w:jc w:val="center"/>
            </w:pPr>
            <w:r>
              <w:rPr>
                <w:sz w:val="19"/>
              </w:rPr>
              <w:t xml:space="preserve">49%</w:t>
            </w:r>
          </w:p>
        </w:tc>
      </w:tr>
    </w:tbl>
    <w:p>
      <w:pPr>
        <w:pStyle w:val="BodyText"/>
      </w:pPr>
      <w:r>
        <w:t xml:space="preserve">The learned detector is 17 times better than the training-free baseline by CPM (Tables 4.5 and 4.8). The in-plane-only row is almost identical, so its misses are not suggestions at the wrong depth but nodules that a DTS view does not separate from vessels and chest wall. Its validation CPM had reached a plateau (0.304 at step 6,000), but it scored 0.484 on training patients against 0.329 on calibration patients, so it partly memorised its 350 training patients; more patients, not more steps, would help. A sensitivity of 35% at two false positives per scan is far below CT detectors, which is why the detector only suggests and the clinician can click anywhere.</w:t>
      </w:r>
    </w:p>
    <w:p>
      <w:pPr>
        <w:pStyle w:val="BodyText"/>
        <w:jc w:val="center"/>
      </w:pPr>
      <w:r>
        <w:drawing>
          <wp:inline>
            <wp:extent cx="4588625" cy="3416530"/>
            <wp:effectExtent b="0" l="0" r="0" t="0"/>
            <wp:docPr descr="image" title="" id="133" name="Picture"/>
            <a:graphic>
              <a:graphicData uri="http://schemas.openxmlformats.org/drawingml/2006/picture">
                <pic:pic>
                  <pic:nvPicPr>
                    <pic:cNvPr descr="/home/user/medlift3d/report/figures/results/froc_test.png" id="134" name="Picture"/>
                    <pic:cNvPicPr>
                      <a:picLocks noChangeArrowheads="1" noChangeAspect="1"/>
                    </pic:cNvPicPr>
                  </pic:nvPicPr>
                  <pic:blipFill>
                    <a:blip r:embed="rId132"/>
                    <a:stretch>
                      <a:fillRect/>
                    </a:stretch>
                  </pic:blipFill>
                  <pic:spPr bwMode="auto">
                    <a:xfrm>
                      <a:off x="0" y="0"/>
                      <a:ext cx="4588625" cy="3416530"/>
                    </a:xfrm>
                    <a:prstGeom prst="rect">
                      <a:avLst/>
                    </a:prstGeom>
                    <a:noFill/>
                    <a:ln w="9525">
                      <a:noFill/>
                      <a:headEnd/>
                      <a:tailEnd/>
                    </a:ln>
                  </pic:spPr>
                </pic:pic>
              </a:graphicData>
            </a:graphic>
          </wp:inline>
        </w:drawing>
      </w:r>
    </w:p>
    <w:p>
      <w:pPr>
        <w:pStyle w:val="BodyText"/>
        <w:jc w:val="center"/>
      </w:pPr>
      <w:r>
        <w:rPr>
          <w:bCs/>
          <w:b/>
          <w:iCs/>
          <w:i/>
          <w:sz w:val="20"/>
        </w:rPr>
        <w:t xml:space="preserve">Figure 4.8:</w:t>
      </w:r>
      <w:r>
        <w:rPr>
          <w:iCs/>
          <w:i/>
          <w:sz w:val="20"/>
        </w:rPr>
        <w:t xml:space="preserve"> </w:t>
      </w:r>
      <w:r>
        <w:rPr>
          <w:iCs/>
          <w:i/>
          <w:sz w:val="20"/>
        </w:rPr>
        <w:t xml:space="preserve">FROC curves of the learned and training-free detectors on the test patients (step 14).</w:t>
      </w:r>
    </w:p>
    <w:bookmarkEnd w:id="135"/>
    <w:bookmarkStart w:id="148" w:name="measurement-accuracy-h1-h2"/>
    <w:p>
      <w:pPr>
        <w:pStyle w:val="Heading3"/>
      </w:pPr>
      <w:r>
        <w:t xml:space="preserve">4.3.3 Measurement Accuracy (H1, H2)</w:t>
      </w:r>
    </w:p>
    <w:p>
      <w:pPr>
        <w:pStyle w:val="FirstParagraph"/>
      </w:pPr>
      <w:r>
        <w:t xml:space="preserve">Each test nodule was measured by six methods: the clinical 2D diameter converted to a sphere volume, the coarse whole-chest SIRT, the prism ROI-SIRT, physics-only Gaussians, the diffusion prior without Gaussians, and the full method (diffusion prior with Gaussians). Volumes are compared with the radiologists’ consensus volume and masses with the CT mass inside the consensus mask plus a 1 mm rim. Table 4.6 reports the failure rate (nothing found at the click), the median signed error (bias) and the median absolute percentage error (MdAPE), in which a failure counts as a 100% error.</w:t>
      </w:r>
    </w:p>
    <w:p>
      <w:pPr>
        <w:pStyle w:val="BodyText"/>
        <w:jc w:val="center"/>
      </w:pPr>
      <w:r>
        <w:rPr>
          <w:bCs/>
          <w:b/>
          <w:iCs/>
          <w:i/>
          <w:sz w:val="20"/>
        </w:rPr>
        <w:t xml:space="preserve">Table 4.6:</w:t>
      </w:r>
      <w:r>
        <w:rPr>
          <w:iCs/>
          <w:i/>
          <w:sz w:val="20"/>
        </w:rPr>
        <w:t xml:space="preserve"> </w:t>
      </w:r>
      <w:r>
        <w:rPr>
          <w:iCs/>
          <w:i/>
          <w:sz w:val="20"/>
        </w:rPr>
        <w:t xml:space="preserve">Measurement error on the 74 test nodules (step 10). A failure counts as 100% error in the MdAPE.</w:t>
      </w:r>
    </w:p>
    <w:tbl>
      <w:tblPr>
        <w:tblStyle w:val="Table"/>
        <w:tblW w:type="auto" w:w="0"/>
        <w:tblLook w:firstRow="0" w:lastRow="0" w:firstColumn="0" w:lastColumn="0" w:noHBand="0" w:noVBand="0" w:val="0000"/>
        <w:jc w:val="start"/>
        <w:tblBorders>
          <w:top w:val="single" w:sz="12" w:color="000000"/>
          <w:bottom w:val="single" w:sz="12" w:color="000000"/>
          <w:insideH w:val="single" w:sz="6" w:color="808080"/>
        </w:tblBorders>
      </w:tblPr>
      <w:tblGrid>
        <w:gridCol w:w="2645"/>
        <w:gridCol w:w="846"/>
        <w:gridCol w:w="846"/>
        <w:gridCol w:w="846"/>
        <w:gridCol w:w="881"/>
        <w:gridCol w:w="846"/>
        <w:gridCol w:w="564"/>
        <w:gridCol w:w="846"/>
        <w:gridCol w:w="705"/>
      </w:tblGrid>
      <w:tr>
        <w:tc>
          <w:tcPr>
            <w:tcW w:type="dxa" w:w="2645"/>
          </w:tcPr>
          <w:p>
            <w:pPr>
              <w:pStyle w:val="Compact"/>
              <w:spacing w:line="240" w:lineRule="auto" w:after="40"/>
            </w:pPr>
          </w:p>
        </w:tc>
        <w:tc>
          <w:tcPr>
            <w:tcW w:type="dxa" w:w="882"/>
            <w:gridSpan w:val="4"/>
          </w:tcPr>
          <w:p>
            <w:pPr>
              <w:pStyle w:val="Compact"/>
              <w:spacing w:line="240" w:lineRule="auto" w:after="40"/>
              <w:jc w:val="center"/>
            </w:pPr>
            <w:r>
              <w:rPr>
                <w:b/>
                <w:sz w:val="19"/>
              </w:rPr>
              <w:t xml:space="preserve">Volume</w:t>
            </w:r>
          </w:p>
        </w:tc>
        <w:tc>
          <w:tcPr>
            <w:tcW w:type="dxa" w:w="846"/>
            <w:gridSpan w:val="3"/>
          </w:tcPr>
          <w:p>
            <w:pPr>
              <w:pStyle w:val="Compact"/>
              <w:spacing w:line="240" w:lineRule="auto" w:after="40"/>
              <w:jc w:val="center"/>
            </w:pPr>
            <w:r>
              <w:rPr>
                <w:b/>
                <w:sz w:val="19"/>
              </w:rPr>
              <w:t xml:space="preserve">Mass</w:t>
            </w:r>
          </w:p>
        </w:tc>
        <w:tc>
          <w:tcPr>
            <w:tcW w:type="dxa" w:w="705"/>
          </w:tcPr>
          <w:p>
            <w:pPr>
              <w:pStyle w:val="Compact"/>
              <w:spacing w:line="240" w:lineRule="auto" w:after="40"/>
            </w:pPr>
          </w:p>
        </w:tc>
      </w:tr>
      <w:tr>
        <w:tc>
          <w:tcPr>
            <w:tcW w:type="dxa" w:w="2645"/>
          </w:tcPr>
          <w:p>
            <w:pPr>
              <w:pStyle w:val="Compact"/>
              <w:spacing w:line="240" w:lineRule="auto" w:after="40"/>
              <w:jc w:val="left"/>
            </w:pPr>
            <w:r>
              <w:rPr>
                <w:sz w:val="19"/>
              </w:rPr>
              <w:t xml:space="preserve">Method</w:t>
            </w:r>
          </w:p>
        </w:tc>
        <w:tc>
          <w:tcPr>
            <w:tcW w:type="dxa" w:w="846"/>
          </w:tcPr>
          <w:p>
            <w:pPr>
              <w:pStyle w:val="Compact"/>
              <w:spacing w:line="240" w:lineRule="auto" w:after="40"/>
              <w:jc w:val="center"/>
            </w:pPr>
            <w:r>
              <w:rPr>
                <w:sz w:val="19"/>
              </w:rPr>
              <w:t xml:space="preserve">Failed</w:t>
            </w:r>
          </w:p>
        </w:tc>
        <w:tc>
          <w:tcPr>
            <w:tcW w:type="dxa" w:w="846"/>
          </w:tcPr>
          <w:p>
            <w:pPr>
              <w:pStyle w:val="Compact"/>
              <w:spacing w:line="240" w:lineRule="auto" w:after="40"/>
              <w:jc w:val="center"/>
            </w:pPr>
            <w:r>
              <w:rPr>
                <w:sz w:val="19"/>
              </w:rPr>
              <w:t xml:space="preserve">Bias</w:t>
            </w:r>
          </w:p>
        </w:tc>
        <w:tc>
          <w:tcPr>
            <w:tcW w:type="dxa" w:w="846"/>
          </w:tcPr>
          <w:p>
            <w:pPr>
              <w:pStyle w:val="Compact"/>
              <w:spacing w:line="240" w:lineRule="auto" w:after="40"/>
              <w:jc w:val="center"/>
            </w:pPr>
            <w:r>
              <w:rPr>
                <w:sz w:val="19"/>
              </w:rPr>
              <w:t xml:space="preserve">MdAPE</w:t>
            </w:r>
          </w:p>
        </w:tc>
        <w:tc>
          <w:tcPr>
            <w:tcW w:type="dxa" w:w="882"/>
          </w:tcPr>
          <w:p>
            <w:pPr>
              <w:pStyle w:val="Compact"/>
              <w:spacing w:line="240" w:lineRule="auto" w:after="40"/>
              <w:jc w:val="center"/>
            </w:pPr>
            <w:r>
              <w:rPr>
                <w:sz w:val="19"/>
              </w:rPr>
              <w:t xml:space="preserve">Within</w:t>
            </w:r>
            <w:r>
              <w:rPr>
                <w:sz w:val="19"/>
              </w:rPr>
              <w:t xml:space="preserve"> </w:t>
            </w:r>
            <m:oMath>
              <m:r>
                <m:rPr>
                  <m:sty m:val="p"/>
                </m:rPr>
                <m:t>±</m:t>
              </m:r>
            </m:oMath>
            <w:r>
              <w:rPr>
                <w:sz w:val="19"/>
              </w:rPr>
              <w:t xml:space="preserve">20%</w:t>
            </w:r>
          </w:p>
        </w:tc>
        <w:tc>
          <w:tcPr>
            <w:tcW w:type="dxa" w:w="846"/>
          </w:tcPr>
          <w:p>
            <w:pPr>
              <w:pStyle w:val="Compact"/>
              <w:spacing w:line="240" w:lineRule="auto" w:after="40"/>
              <w:jc w:val="center"/>
            </w:pPr>
            <w:r>
              <w:rPr>
                <w:sz w:val="19"/>
              </w:rPr>
              <w:t xml:space="preserve">Failed</w:t>
            </w:r>
          </w:p>
        </w:tc>
        <w:tc>
          <w:tcPr>
            <w:tcW w:type="dxa" w:w="564"/>
          </w:tcPr>
          <w:p>
            <w:pPr>
              <w:pStyle w:val="Compact"/>
              <w:spacing w:line="240" w:lineRule="auto" w:after="40"/>
              <w:jc w:val="center"/>
            </w:pPr>
            <w:r>
              <w:rPr>
                <w:sz w:val="19"/>
              </w:rPr>
              <w:t xml:space="preserve">Bias</w:t>
            </w:r>
          </w:p>
        </w:tc>
        <w:tc>
          <w:tcPr>
            <w:tcW w:type="dxa" w:w="846"/>
          </w:tcPr>
          <w:p>
            <w:pPr>
              <w:pStyle w:val="Compact"/>
              <w:spacing w:line="240" w:lineRule="auto" w:after="40"/>
              <w:jc w:val="center"/>
            </w:pPr>
            <w:r>
              <w:rPr>
                <w:sz w:val="19"/>
              </w:rPr>
              <w:t xml:space="preserve">MdAPE</w:t>
            </w:r>
          </w:p>
        </w:tc>
        <w:tc>
          <w:tcPr>
            <w:tcW w:type="dxa" w:w="705"/>
          </w:tcPr>
          <w:p>
            <w:pPr>
              <w:pStyle w:val="Compact"/>
              <w:spacing w:line="240" w:lineRule="auto" w:after="40"/>
              <w:jc w:val="center"/>
            </w:pPr>
            <w:r>
              <w:rPr>
                <w:sz w:val="19"/>
              </w:rPr>
              <w:t xml:space="preserve">Box PSNR</w:t>
            </w:r>
          </w:p>
        </w:tc>
      </w:tr>
      <w:tr>
        <w:tc>
          <w:tcPr>
            <w:tcW w:type="dxa" w:w="2645"/>
          </w:tcPr>
          <w:p>
            <w:pPr>
              <w:pStyle w:val="Compact"/>
              <w:spacing w:line="240" w:lineRule="auto" w:after="40"/>
              <w:jc w:val="left"/>
            </w:pPr>
            <w:r>
              <w:rPr>
                <w:sz w:val="19"/>
              </w:rPr>
              <w:t xml:space="preserve">2D diameter</w:t>
            </w:r>
            <w:r>
              <w:rPr>
                <w:sz w:val="19"/>
              </w:rPr>
              <w:t xml:space="preserve"> </w:t>
            </w:r>
            <m:oMath>
              <m:r>
                <m:rPr>
                  <m:sty m:val="p"/>
                </m:rPr>
                <m:t>→</m:t>
              </m:r>
            </m:oMath>
            <w:r>
              <w:rPr>
                <w:sz w:val="19"/>
              </w:rPr>
              <w:t xml:space="preserve"> </w:t>
            </w:r>
            <w:r>
              <w:rPr>
                <w:sz w:val="19"/>
              </w:rPr>
              <w:t xml:space="preserve">sphere (clinical)</w:t>
            </w:r>
          </w:p>
        </w:tc>
        <w:tc>
          <w:tcPr>
            <w:tcW w:type="dxa" w:w="846"/>
          </w:tcPr>
          <w:p>
            <w:pPr>
              <w:pStyle w:val="Compact"/>
              <w:spacing w:line="240" w:lineRule="auto" w:after="40"/>
              <w:jc w:val="center"/>
            </w:pPr>
            <w:r>
              <w:rPr>
                <w:sz w:val="19"/>
              </w:rPr>
              <w:t xml:space="preserve">15%</w:t>
            </w:r>
          </w:p>
        </w:tc>
        <w:tc>
          <w:tcPr>
            <w:tcW w:type="dxa" w:w="846"/>
          </w:tcPr>
          <w:p>
            <w:pPr>
              <w:pStyle w:val="Compact"/>
              <w:spacing w:line="240" w:lineRule="auto" w:after="40"/>
              <w:jc w:val="center"/>
            </w:pPr>
            <m:oMath>
              <m:r>
                <m:rPr>
                  <m:sty m:val="p"/>
                </m:rPr>
                <m:t>−</m:t>
              </m:r>
              <m:r>
                <m:t>44</m:t>
              </m:r>
              <m:r>
                <m:rPr>
                  <m:sty m:val="p"/>
                </m:rPr>
                <m:t>%</m:t>
              </m:r>
            </m:oMath>
          </w:p>
        </w:tc>
        <w:tc>
          <w:tcPr>
            <w:tcW w:type="dxa" w:w="846"/>
          </w:tcPr>
          <w:p>
            <w:pPr>
              <w:pStyle w:val="Compact"/>
              <w:spacing w:line="240" w:lineRule="auto" w:after="40"/>
              <w:jc w:val="center"/>
            </w:pPr>
            <w:r>
              <w:rPr>
                <w:sz w:val="19"/>
              </w:rPr>
              <w:t xml:space="preserve">88.0%</w:t>
            </w:r>
          </w:p>
        </w:tc>
        <w:tc>
          <w:tcPr>
            <w:tcW w:type="dxa" w:w="882"/>
          </w:tcPr>
          <w:p>
            <w:pPr>
              <w:pStyle w:val="Compact"/>
              <w:spacing w:line="240" w:lineRule="auto" w:after="40"/>
              <w:jc w:val="center"/>
            </w:pPr>
            <w:r>
              <w:rPr>
                <w:sz w:val="19"/>
              </w:rPr>
              <w:t xml:space="preserve">7%</w:t>
            </w:r>
          </w:p>
        </w:tc>
        <w:tc>
          <w:tcPr>
            <w:tcW w:type="dxa" w:w="846"/>
          </w:tcPr>
          <w:p>
            <w:pPr>
              <w:pStyle w:val="Compact"/>
              <w:spacing w:line="240" w:lineRule="auto" w:after="40"/>
              <w:jc w:val="center"/>
            </w:pPr>
            <w:r>
              <w:rPr>
                <w:sz w:val="19"/>
              </w:rPr>
              <w:t xml:space="preserve">–</w:t>
            </w:r>
          </w:p>
        </w:tc>
        <w:tc>
          <w:tcPr>
            <w:tcW w:type="dxa" w:w="564"/>
          </w:tcPr>
          <w:p>
            <w:pPr>
              <w:pStyle w:val="Compact"/>
              <w:spacing w:line="240" w:lineRule="auto" w:after="40"/>
              <w:jc w:val="center"/>
            </w:pPr>
            <w:r>
              <w:rPr>
                <w:sz w:val="19"/>
              </w:rPr>
              <w:t xml:space="preserve">–</w:t>
            </w:r>
          </w:p>
        </w:tc>
        <w:tc>
          <w:tcPr>
            <w:tcW w:type="dxa" w:w="846"/>
          </w:tcPr>
          <w:p>
            <w:pPr>
              <w:pStyle w:val="Compact"/>
              <w:spacing w:line="240" w:lineRule="auto" w:after="40"/>
              <w:jc w:val="center"/>
            </w:pPr>
            <w:r>
              <w:rPr>
                <w:sz w:val="19"/>
              </w:rPr>
              <w:t xml:space="preserve">–</w:t>
            </w:r>
          </w:p>
        </w:tc>
        <w:tc>
          <w:tcPr>
            <w:tcW w:type="dxa" w:w="705"/>
          </w:tcPr>
          <w:p>
            <w:pPr>
              <w:pStyle w:val="Compact"/>
              <w:spacing w:line="240" w:lineRule="auto" w:after="40"/>
              <w:jc w:val="center"/>
            </w:pPr>
            <w:r>
              <w:rPr>
                <w:sz w:val="19"/>
              </w:rPr>
              <w:t xml:space="preserve">–</w:t>
            </w:r>
          </w:p>
        </w:tc>
      </w:tr>
      <w:tr>
        <w:tc>
          <w:tcPr>
            <w:tcW w:type="dxa" w:w="2645"/>
          </w:tcPr>
          <w:p>
            <w:pPr>
              <w:pStyle w:val="Compact"/>
              <w:spacing w:line="240" w:lineRule="auto" w:after="40"/>
              <w:jc w:val="left"/>
            </w:pPr>
            <w:r>
              <w:rPr>
                <w:sz w:val="19"/>
              </w:rPr>
              <w:t xml:space="preserve">Coarse DTS SIRT</w:t>
            </w:r>
          </w:p>
        </w:tc>
        <w:tc>
          <w:tcPr>
            <w:tcW w:type="dxa" w:w="846"/>
          </w:tcPr>
          <w:p>
            <w:pPr>
              <w:pStyle w:val="Compact"/>
              <w:spacing w:line="240" w:lineRule="auto" w:after="40"/>
              <w:jc w:val="center"/>
            </w:pPr>
            <w:r>
              <w:rPr>
                <w:sz w:val="19"/>
              </w:rPr>
              <w:t xml:space="preserve">46%</w:t>
            </w:r>
          </w:p>
        </w:tc>
        <w:tc>
          <w:tcPr>
            <w:tcW w:type="dxa" w:w="846"/>
          </w:tcPr>
          <w:p>
            <w:pPr>
              <w:pStyle w:val="Compact"/>
              <w:spacing w:line="240" w:lineRule="auto" w:after="40"/>
              <w:jc w:val="center"/>
            </w:pPr>
            <m:oMath>
              <m:r>
                <m:rPr>
                  <m:sty m:val="p"/>
                </m:rPr>
                <m:t>−</m:t>
              </m:r>
              <m:r>
                <m:t>61</m:t>
              </m:r>
              <m:r>
                <m:rPr>
                  <m:sty m:val="p"/>
                </m:rPr>
                <m:t>%</m:t>
              </m:r>
            </m:oMath>
          </w:p>
        </w:tc>
        <w:tc>
          <w:tcPr>
            <w:tcW w:type="dxa" w:w="846"/>
          </w:tcPr>
          <w:p>
            <w:pPr>
              <w:pStyle w:val="Compact"/>
              <w:spacing w:line="240" w:lineRule="auto" w:after="40"/>
              <w:jc w:val="center"/>
            </w:pPr>
            <w:r>
              <w:rPr>
                <w:sz w:val="19"/>
              </w:rPr>
              <w:t xml:space="preserve">100.0%</w:t>
            </w:r>
          </w:p>
        </w:tc>
        <w:tc>
          <w:tcPr>
            <w:tcW w:type="dxa" w:w="882"/>
          </w:tcPr>
          <w:p>
            <w:pPr>
              <w:pStyle w:val="Compact"/>
              <w:spacing w:line="240" w:lineRule="auto" w:after="40"/>
              <w:jc w:val="center"/>
            </w:pPr>
            <w:r>
              <w:rPr>
                <w:sz w:val="19"/>
              </w:rPr>
              <w:t xml:space="preserve">5%</w:t>
            </w:r>
          </w:p>
        </w:tc>
        <w:tc>
          <w:tcPr>
            <w:tcW w:type="dxa" w:w="846"/>
          </w:tcPr>
          <w:p>
            <w:pPr>
              <w:pStyle w:val="Compact"/>
              <w:spacing w:line="240" w:lineRule="auto" w:after="40"/>
              <w:jc w:val="center"/>
            </w:pPr>
            <w:r>
              <w:rPr>
                <w:sz w:val="19"/>
              </w:rPr>
              <w:t xml:space="preserve">46%</w:t>
            </w:r>
          </w:p>
        </w:tc>
        <w:tc>
          <w:tcPr>
            <w:tcW w:type="dxa" w:w="564"/>
          </w:tcPr>
          <w:p>
            <w:pPr>
              <w:pStyle w:val="Compact"/>
              <w:spacing w:line="240" w:lineRule="auto" w:after="40"/>
              <w:jc w:val="center"/>
            </w:pPr>
            <m:oMath>
              <m:r>
                <m:rPr>
                  <m:sty m:val="p"/>
                </m:rPr>
                <m:t>−</m:t>
              </m:r>
              <m:r>
                <m:t>66</m:t>
              </m:r>
              <m:r>
                <m:rPr>
                  <m:sty m:val="p"/>
                </m:rPr>
                <m:t>%</m:t>
              </m:r>
            </m:oMath>
          </w:p>
        </w:tc>
        <w:tc>
          <w:tcPr>
            <w:tcW w:type="dxa" w:w="846"/>
          </w:tcPr>
          <w:p>
            <w:pPr>
              <w:pStyle w:val="Compact"/>
              <w:spacing w:line="240" w:lineRule="auto" w:after="40"/>
              <w:jc w:val="center"/>
            </w:pPr>
            <w:r>
              <w:rPr>
                <w:sz w:val="19"/>
              </w:rPr>
              <w:t xml:space="preserve">100.0%</w:t>
            </w:r>
          </w:p>
        </w:tc>
        <w:tc>
          <w:tcPr>
            <w:tcW w:type="dxa" w:w="705"/>
          </w:tcPr>
          <w:p>
            <w:pPr>
              <w:pStyle w:val="Compact"/>
              <w:spacing w:line="240" w:lineRule="auto" w:after="40"/>
              <w:jc w:val="center"/>
            </w:pPr>
            <w:r>
              <w:rPr>
                <w:sz w:val="19"/>
              </w:rPr>
              <w:t xml:space="preserve">12.28</w:t>
            </w:r>
          </w:p>
        </w:tc>
      </w:tr>
      <w:tr>
        <w:tc>
          <w:tcPr>
            <w:tcW w:type="dxa" w:w="2645"/>
          </w:tcPr>
          <w:p>
            <w:pPr>
              <w:pStyle w:val="Compact"/>
              <w:spacing w:line="240" w:lineRule="auto" w:after="40"/>
              <w:jc w:val="left"/>
            </w:pPr>
            <w:r>
              <w:rPr>
                <w:sz w:val="19"/>
              </w:rPr>
              <w:t xml:space="preserve">Prism ROI-SIRT (physics)</w:t>
            </w:r>
          </w:p>
        </w:tc>
        <w:tc>
          <w:tcPr>
            <w:tcW w:type="dxa" w:w="846"/>
          </w:tcPr>
          <w:p>
            <w:pPr>
              <w:pStyle w:val="Compact"/>
              <w:spacing w:line="240" w:lineRule="auto" w:after="40"/>
              <w:jc w:val="center"/>
            </w:pPr>
            <w:r>
              <w:rPr>
                <w:sz w:val="19"/>
              </w:rPr>
              <w:t xml:space="preserve">15%</w:t>
            </w:r>
          </w:p>
        </w:tc>
        <w:tc>
          <w:tcPr>
            <w:tcW w:type="dxa" w:w="846"/>
          </w:tcPr>
          <w:p>
            <w:pPr>
              <w:pStyle w:val="Compact"/>
              <w:spacing w:line="240" w:lineRule="auto" w:after="40"/>
              <w:jc w:val="center"/>
            </w:pPr>
            <m:oMath>
              <m:r>
                <m:rPr>
                  <m:sty m:val="p"/>
                </m:rPr>
                <m:t>+</m:t>
              </m:r>
              <m:r>
                <m:t>10</m:t>
              </m:r>
              <m:r>
                <m:rPr>
                  <m:sty m:val="p"/>
                </m:rPr>
                <m:t>%</m:t>
              </m:r>
            </m:oMath>
          </w:p>
        </w:tc>
        <w:tc>
          <w:tcPr>
            <w:tcW w:type="dxa" w:w="846"/>
          </w:tcPr>
          <w:p>
            <w:pPr>
              <w:pStyle w:val="Compact"/>
              <w:spacing w:line="240" w:lineRule="auto" w:after="40"/>
              <w:jc w:val="center"/>
            </w:pPr>
            <w:r>
              <w:rPr>
                <w:sz w:val="19"/>
              </w:rPr>
              <w:t xml:space="preserve">91.2%</w:t>
            </w:r>
          </w:p>
        </w:tc>
        <w:tc>
          <w:tcPr>
            <w:tcW w:type="dxa" w:w="882"/>
          </w:tcPr>
          <w:p>
            <w:pPr>
              <w:pStyle w:val="Compact"/>
              <w:spacing w:line="240" w:lineRule="auto" w:after="40"/>
              <w:jc w:val="center"/>
            </w:pPr>
            <w:r>
              <w:rPr>
                <w:bCs/>
                <w:b/>
                <w:sz w:val="19"/>
              </w:rPr>
              <w:t xml:space="preserve">14%</w:t>
            </w:r>
          </w:p>
        </w:tc>
        <w:tc>
          <w:tcPr>
            <w:tcW w:type="dxa" w:w="846"/>
          </w:tcPr>
          <w:p>
            <w:pPr>
              <w:pStyle w:val="Compact"/>
              <w:spacing w:line="240" w:lineRule="auto" w:after="40"/>
              <w:jc w:val="center"/>
            </w:pPr>
            <w:r>
              <w:rPr>
                <w:sz w:val="19"/>
              </w:rPr>
              <w:t xml:space="preserve">16%</w:t>
            </w:r>
          </w:p>
        </w:tc>
        <w:tc>
          <w:tcPr>
            <w:tcW w:type="dxa" w:w="564"/>
          </w:tcPr>
          <w:p>
            <w:pPr>
              <w:pStyle w:val="Compact"/>
              <w:spacing w:line="240" w:lineRule="auto" w:after="40"/>
              <w:jc w:val="center"/>
            </w:pPr>
            <m:oMath>
              <m:r>
                <m:rPr>
                  <m:sty m:val="p"/>
                </m:rPr>
                <m:t>+</m:t>
              </m:r>
              <m:r>
                <m:t>8</m:t>
              </m:r>
              <m:r>
                <m:rPr>
                  <m:sty m:val="p"/>
                </m:rPr>
                <m:t>%</m:t>
              </m:r>
            </m:oMath>
          </w:p>
        </w:tc>
        <w:tc>
          <w:tcPr>
            <w:tcW w:type="dxa" w:w="846"/>
          </w:tcPr>
          <w:p>
            <w:pPr>
              <w:pStyle w:val="Compact"/>
              <w:spacing w:line="240" w:lineRule="auto" w:after="40"/>
              <w:jc w:val="center"/>
            </w:pPr>
            <w:r>
              <w:rPr>
                <w:sz w:val="19"/>
              </w:rPr>
              <w:t xml:space="preserve">100.0%</w:t>
            </w:r>
          </w:p>
        </w:tc>
        <w:tc>
          <w:tcPr>
            <w:tcW w:type="dxa" w:w="705"/>
          </w:tcPr>
          <w:p>
            <w:pPr>
              <w:pStyle w:val="Compact"/>
              <w:spacing w:line="240" w:lineRule="auto" w:after="40"/>
              <w:jc w:val="center"/>
            </w:pPr>
            <w:r>
              <w:rPr>
                <w:sz w:val="19"/>
              </w:rPr>
              <w:t xml:space="preserve">12.14</w:t>
            </w:r>
          </w:p>
        </w:tc>
      </w:tr>
      <w:tr>
        <w:tc>
          <w:tcPr>
            <w:tcW w:type="dxa" w:w="2645"/>
          </w:tcPr>
          <w:p>
            <w:pPr>
              <w:pStyle w:val="Compact"/>
              <w:spacing w:line="240" w:lineRule="auto" w:after="40"/>
              <w:jc w:val="left"/>
            </w:pPr>
            <w:r>
              <w:rPr>
                <w:sz w:val="19"/>
              </w:rPr>
              <w:t xml:space="preserve">Physics-only Gaussians</w:t>
            </w:r>
          </w:p>
        </w:tc>
        <w:tc>
          <w:tcPr>
            <w:tcW w:type="dxa" w:w="846"/>
          </w:tcPr>
          <w:p>
            <w:pPr>
              <w:pStyle w:val="Compact"/>
              <w:spacing w:line="240" w:lineRule="auto" w:after="40"/>
              <w:jc w:val="center"/>
            </w:pPr>
            <w:r>
              <w:rPr>
                <w:sz w:val="19"/>
              </w:rPr>
              <w:t xml:space="preserve">7%</w:t>
            </w:r>
          </w:p>
        </w:tc>
        <w:tc>
          <w:tcPr>
            <w:tcW w:type="dxa" w:w="846"/>
          </w:tcPr>
          <w:p>
            <w:pPr>
              <w:pStyle w:val="Compact"/>
              <w:spacing w:line="240" w:lineRule="auto" w:after="40"/>
              <w:jc w:val="center"/>
            </w:pPr>
            <m:oMath>
              <m:r>
                <m:rPr>
                  <m:sty m:val="p"/>
                </m:rPr>
                <m:t>−</m:t>
              </m:r>
              <m:r>
                <m:t>82</m:t>
              </m:r>
              <m:r>
                <m:rPr>
                  <m:sty m:val="p"/>
                </m:rPr>
                <m:t>%</m:t>
              </m:r>
            </m:oMath>
          </w:p>
        </w:tc>
        <w:tc>
          <w:tcPr>
            <w:tcW w:type="dxa" w:w="846"/>
          </w:tcPr>
          <w:p>
            <w:pPr>
              <w:pStyle w:val="Compact"/>
              <w:spacing w:line="240" w:lineRule="auto" w:after="40"/>
              <w:jc w:val="center"/>
            </w:pPr>
            <w:r>
              <w:rPr>
                <w:sz w:val="19"/>
              </w:rPr>
              <w:t xml:space="preserve">87.7%</w:t>
            </w:r>
          </w:p>
        </w:tc>
        <w:tc>
          <w:tcPr>
            <w:tcW w:type="dxa" w:w="882"/>
          </w:tcPr>
          <w:p>
            <w:pPr>
              <w:pStyle w:val="Compact"/>
              <w:spacing w:line="240" w:lineRule="auto" w:after="40"/>
              <w:jc w:val="center"/>
            </w:pPr>
            <w:r>
              <w:rPr>
                <w:sz w:val="19"/>
              </w:rPr>
              <w:t xml:space="preserve">3%</w:t>
            </w:r>
          </w:p>
        </w:tc>
        <w:tc>
          <w:tcPr>
            <w:tcW w:type="dxa" w:w="846"/>
          </w:tcPr>
          <w:p>
            <w:pPr>
              <w:pStyle w:val="Compact"/>
              <w:spacing w:line="240" w:lineRule="auto" w:after="40"/>
              <w:jc w:val="center"/>
            </w:pPr>
            <w:r>
              <w:rPr>
                <w:sz w:val="19"/>
              </w:rPr>
              <w:t xml:space="preserve">7%</w:t>
            </w:r>
          </w:p>
        </w:tc>
        <w:tc>
          <w:tcPr>
            <w:tcW w:type="dxa" w:w="564"/>
          </w:tcPr>
          <w:p>
            <w:pPr>
              <w:pStyle w:val="Compact"/>
              <w:spacing w:line="240" w:lineRule="auto" w:after="40"/>
              <w:jc w:val="center"/>
            </w:pPr>
            <m:oMath>
              <m:r>
                <m:rPr>
                  <m:sty m:val="p"/>
                </m:rPr>
                <m:t>−</m:t>
              </m:r>
              <m:r>
                <m:t>43</m:t>
              </m:r>
              <m:r>
                <m:rPr>
                  <m:sty m:val="p"/>
                </m:rPr>
                <m:t>%</m:t>
              </m:r>
            </m:oMath>
          </w:p>
        </w:tc>
        <w:tc>
          <w:tcPr>
            <w:tcW w:type="dxa" w:w="846"/>
          </w:tcPr>
          <w:p>
            <w:pPr>
              <w:pStyle w:val="Compact"/>
              <w:spacing w:line="240" w:lineRule="auto" w:after="40"/>
              <w:jc w:val="center"/>
            </w:pPr>
            <w:r>
              <w:rPr>
                <w:bCs/>
                <w:b/>
                <w:sz w:val="19"/>
              </w:rPr>
              <w:t xml:space="preserve">78.0%</w:t>
            </w:r>
          </w:p>
        </w:tc>
        <w:tc>
          <w:tcPr>
            <w:tcW w:type="dxa" w:w="705"/>
          </w:tcPr>
          <w:p>
            <w:pPr>
              <w:pStyle w:val="Compact"/>
              <w:spacing w:line="240" w:lineRule="auto" w:after="40"/>
              <w:jc w:val="center"/>
            </w:pPr>
            <w:r>
              <w:rPr>
                <w:sz w:val="19"/>
              </w:rPr>
              <w:t xml:space="preserve">11.99</w:t>
            </w:r>
          </w:p>
        </w:tc>
      </w:tr>
      <w:tr>
        <w:tc>
          <w:tcPr>
            <w:tcW w:type="dxa" w:w="2645"/>
          </w:tcPr>
          <w:p>
            <w:pPr>
              <w:pStyle w:val="Compact"/>
              <w:spacing w:line="240" w:lineRule="auto" w:after="40"/>
              <w:jc w:val="left"/>
            </w:pPr>
            <w:r>
              <w:rPr>
                <w:sz w:val="19"/>
              </w:rPr>
              <w:t xml:space="preserve">Diffusion only</w:t>
            </w:r>
          </w:p>
        </w:tc>
        <w:tc>
          <w:tcPr>
            <w:tcW w:type="dxa" w:w="846"/>
          </w:tcPr>
          <w:p>
            <w:pPr>
              <w:pStyle w:val="Compact"/>
              <w:spacing w:line="240" w:lineRule="auto" w:after="40"/>
              <w:jc w:val="center"/>
            </w:pPr>
            <w:r>
              <w:rPr>
                <w:bCs/>
                <w:b/>
                <w:sz w:val="19"/>
              </w:rPr>
              <w:t xml:space="preserve">3%</w:t>
            </w:r>
          </w:p>
        </w:tc>
        <w:tc>
          <w:tcPr>
            <w:tcW w:type="dxa" w:w="846"/>
          </w:tcPr>
          <w:p>
            <w:pPr>
              <w:pStyle w:val="Compact"/>
              <w:spacing w:line="240" w:lineRule="auto" w:after="40"/>
              <w:jc w:val="center"/>
            </w:pPr>
            <m:oMath>
              <m:r>
                <m:rPr>
                  <m:sty m:val="p"/>
                </m:rPr>
                <m:t>−</m:t>
              </m:r>
              <m:r>
                <m:t>58</m:t>
              </m:r>
              <m:r>
                <m:rPr>
                  <m:sty m:val="p"/>
                </m:rPr>
                <m:t>%</m:t>
              </m:r>
            </m:oMath>
          </w:p>
        </w:tc>
        <w:tc>
          <w:tcPr>
            <w:tcW w:type="dxa" w:w="846"/>
          </w:tcPr>
          <w:p>
            <w:pPr>
              <w:pStyle w:val="Compact"/>
              <w:spacing w:line="240" w:lineRule="auto" w:after="40"/>
              <w:jc w:val="center"/>
            </w:pPr>
            <w:r>
              <w:rPr>
                <w:bCs/>
                <w:b/>
                <w:sz w:val="19"/>
              </w:rPr>
              <w:t xml:space="preserve">74.5%</w:t>
            </w:r>
          </w:p>
        </w:tc>
        <w:tc>
          <w:tcPr>
            <w:tcW w:type="dxa" w:w="882"/>
          </w:tcPr>
          <w:p>
            <w:pPr>
              <w:pStyle w:val="Compact"/>
              <w:spacing w:line="240" w:lineRule="auto" w:after="40"/>
              <w:jc w:val="center"/>
            </w:pPr>
            <w:r>
              <w:rPr>
                <w:sz w:val="19"/>
              </w:rPr>
              <w:t xml:space="preserve">9%</w:t>
            </w:r>
          </w:p>
        </w:tc>
        <w:tc>
          <w:tcPr>
            <w:tcW w:type="dxa" w:w="846"/>
          </w:tcPr>
          <w:p>
            <w:pPr>
              <w:pStyle w:val="Compact"/>
              <w:spacing w:line="240" w:lineRule="auto" w:after="40"/>
              <w:jc w:val="center"/>
            </w:pPr>
            <w:r>
              <w:rPr>
                <w:sz w:val="19"/>
              </w:rPr>
              <w:t xml:space="preserve">36%</w:t>
            </w:r>
          </w:p>
        </w:tc>
        <w:tc>
          <w:tcPr>
            <w:tcW w:type="dxa" w:w="564"/>
          </w:tcPr>
          <w:p>
            <w:pPr>
              <w:pStyle w:val="Compact"/>
              <w:spacing w:line="240" w:lineRule="auto" w:after="40"/>
              <w:jc w:val="center"/>
            </w:pPr>
            <m:oMath>
              <m:r>
                <m:rPr>
                  <m:sty m:val="p"/>
                </m:rPr>
                <m:t>−</m:t>
              </m:r>
              <m:r>
                <m:t>82</m:t>
              </m:r>
              <m:r>
                <m:rPr>
                  <m:sty m:val="p"/>
                </m:rPr>
                <m:t>%</m:t>
              </m:r>
            </m:oMath>
          </w:p>
        </w:tc>
        <w:tc>
          <w:tcPr>
            <w:tcW w:type="dxa" w:w="846"/>
          </w:tcPr>
          <w:p>
            <w:pPr>
              <w:pStyle w:val="Compact"/>
              <w:spacing w:line="240" w:lineRule="auto" w:after="40"/>
              <w:jc w:val="center"/>
            </w:pPr>
            <w:r>
              <w:rPr>
                <w:sz w:val="19"/>
              </w:rPr>
              <w:t xml:space="preserve">100.0%</w:t>
            </w:r>
          </w:p>
        </w:tc>
        <w:tc>
          <w:tcPr>
            <w:tcW w:type="dxa" w:w="705"/>
          </w:tcPr>
          <w:p>
            <w:pPr>
              <w:pStyle w:val="Compact"/>
              <w:spacing w:line="240" w:lineRule="auto" w:after="40"/>
              <w:jc w:val="center"/>
            </w:pPr>
            <w:r>
              <w:rPr>
                <w:bCs/>
                <w:b/>
                <w:sz w:val="19"/>
              </w:rPr>
              <w:t xml:space="preserve">17.49</w:t>
            </w:r>
          </w:p>
        </w:tc>
      </w:tr>
      <w:tr>
        <w:tc>
          <w:tcPr>
            <w:tcW w:type="dxa" w:w="2645"/>
          </w:tcPr>
          <w:p>
            <w:pPr>
              <w:pStyle w:val="Compact"/>
              <w:spacing w:line="240" w:lineRule="auto" w:after="40"/>
              <w:jc w:val="left"/>
            </w:pPr>
            <w:r>
              <w:rPr>
                <w:sz w:val="19"/>
              </w:rPr>
              <w:t xml:space="preserve">Diffusion + Gaussians (ours)</w:t>
            </w:r>
          </w:p>
        </w:tc>
        <w:tc>
          <w:tcPr>
            <w:tcW w:type="dxa" w:w="846"/>
          </w:tcPr>
          <w:p>
            <w:pPr>
              <w:pStyle w:val="Compact"/>
              <w:spacing w:line="240" w:lineRule="auto" w:after="40"/>
              <w:jc w:val="center"/>
            </w:pPr>
            <w:r>
              <w:rPr>
                <w:sz w:val="19"/>
              </w:rPr>
              <w:t xml:space="preserve">22%</w:t>
            </w:r>
          </w:p>
        </w:tc>
        <w:tc>
          <w:tcPr>
            <w:tcW w:type="dxa" w:w="846"/>
          </w:tcPr>
          <w:p>
            <w:pPr>
              <w:pStyle w:val="Compact"/>
              <w:spacing w:line="240" w:lineRule="auto" w:after="40"/>
              <w:jc w:val="center"/>
            </w:pPr>
            <m:oMath>
              <m:r>
                <m:rPr>
                  <m:sty m:val="p"/>
                </m:rPr>
                <m:t>−</m:t>
              </m:r>
              <m:r>
                <m:t>91</m:t>
              </m:r>
              <m:r>
                <m:rPr>
                  <m:sty m:val="p"/>
                </m:rPr>
                <m:t>%</m:t>
              </m:r>
            </m:oMath>
          </w:p>
        </w:tc>
        <w:tc>
          <w:tcPr>
            <w:tcW w:type="dxa" w:w="846"/>
          </w:tcPr>
          <w:p>
            <w:pPr>
              <w:pStyle w:val="Compact"/>
              <w:spacing w:line="240" w:lineRule="auto" w:after="40"/>
              <w:jc w:val="center"/>
            </w:pPr>
            <w:r>
              <w:rPr>
                <w:sz w:val="19"/>
              </w:rPr>
              <w:t xml:space="preserve">94.6%</w:t>
            </w:r>
          </w:p>
        </w:tc>
        <w:tc>
          <w:tcPr>
            <w:tcW w:type="dxa" w:w="882"/>
          </w:tcPr>
          <w:p>
            <w:pPr>
              <w:pStyle w:val="Compact"/>
              <w:spacing w:line="240" w:lineRule="auto" w:after="40"/>
              <w:jc w:val="center"/>
            </w:pPr>
            <w:r>
              <w:rPr>
                <w:sz w:val="19"/>
              </w:rPr>
              <w:t xml:space="preserve">4%</w:t>
            </w:r>
          </w:p>
        </w:tc>
        <w:tc>
          <w:tcPr>
            <w:tcW w:type="dxa" w:w="846"/>
          </w:tcPr>
          <w:p>
            <w:pPr>
              <w:pStyle w:val="Compact"/>
              <w:spacing w:line="240" w:lineRule="auto" w:after="40"/>
              <w:jc w:val="center"/>
            </w:pPr>
            <w:r>
              <w:rPr>
                <w:sz w:val="19"/>
              </w:rPr>
              <w:t xml:space="preserve">22%</w:t>
            </w:r>
          </w:p>
        </w:tc>
        <w:tc>
          <w:tcPr>
            <w:tcW w:type="dxa" w:w="564"/>
          </w:tcPr>
          <w:p>
            <w:pPr>
              <w:pStyle w:val="Compact"/>
              <w:spacing w:line="240" w:lineRule="auto" w:after="40"/>
              <w:jc w:val="center"/>
            </w:pPr>
            <m:oMath>
              <m:r>
                <m:rPr>
                  <m:sty m:val="p"/>
                </m:rPr>
                <m:t>−</m:t>
              </m:r>
              <m:r>
                <m:t>87</m:t>
              </m:r>
              <m:r>
                <m:rPr>
                  <m:sty m:val="p"/>
                </m:rPr>
                <m:t>%</m:t>
              </m:r>
            </m:oMath>
          </w:p>
        </w:tc>
        <w:tc>
          <w:tcPr>
            <w:tcW w:type="dxa" w:w="846"/>
          </w:tcPr>
          <w:p>
            <w:pPr>
              <w:pStyle w:val="Compact"/>
              <w:spacing w:line="240" w:lineRule="auto" w:after="40"/>
              <w:jc w:val="center"/>
            </w:pPr>
            <w:r>
              <w:rPr>
                <w:sz w:val="19"/>
              </w:rPr>
              <w:t xml:space="preserve">97.3%</w:t>
            </w:r>
          </w:p>
        </w:tc>
        <w:tc>
          <w:tcPr>
            <w:tcW w:type="dxa" w:w="705"/>
          </w:tcPr>
          <w:p>
            <w:pPr>
              <w:pStyle w:val="Compact"/>
              <w:spacing w:line="240" w:lineRule="auto" w:after="40"/>
              <w:jc w:val="center"/>
            </w:pPr>
            <w:r>
              <w:rPr>
                <w:sz w:val="19"/>
              </w:rPr>
              <w:t xml:space="preserve">14.72</w:t>
            </w:r>
          </w:p>
        </w:tc>
      </w:tr>
    </w:tbl>
    <w:p>
      <w:pPr>
        <w:pStyle w:val="BodyText"/>
      </w:pPr>
      <w:r>
        <w:rPr>
          <w:bCs/>
          <w:b/>
        </w:rPr>
        <w:t xml:space="preserve">H1 (mass error</w:t>
      </w:r>
      <w:r>
        <w:rPr>
          <w:bCs/>
          <w:b/>
        </w:rPr>
        <w:t xml:space="preserve"> </w:t>
      </w:r>
      <m:oMath>
        <m:r>
          <m:rPr>
            <m:sty m:val="p"/>
          </m:rPr>
          <m:t>&lt;</m:t>
        </m:r>
      </m:oMath>
      <w:r>
        <w:rPr>
          <w:bCs/>
          <w:b/>
        </w:rPr>
        <w:t xml:space="preserve"> </w:t>
      </w:r>
      <w:r>
        <w:rPr>
          <w:bCs/>
          <w:b/>
        </w:rPr>
        <w:t xml:space="preserve">volume error) is not supported.</w:t>
      </w:r>
      <w:r>
        <w:t xml:space="preserve"> </w:t>
      </w:r>
      <w:r>
        <w:t xml:space="preserve">Mass had a lower MdAPE than volume only for the physics-only Gaussians (78.0% vs 87.7%); for the other methods it was equal or worse.</w:t>
      </w:r>
      <w:r>
        <w:t xml:space="preserve"> </w:t>
      </w:r>
      <w:r>
        <w:rPr>
          <w:bCs/>
          <w:b/>
        </w:rPr>
        <w:t xml:space="preserve">H2 (the prior reduces volume error) is not supported for the full method</w:t>
      </w:r>
      <w:r>
        <w:t xml:space="preserve">: diffusion with Gaussians had a volume MdAPE of 94.6% against 87.7–91.2% for the physics-only methods. The diffusion prior alone had the lowest volume MdAPE (74.5%) and the fewest failures (3%), but a strong negative bias (</w:t>
      </w:r>
      <m:oMath>
        <m:r>
          <m:rPr>
            <m:sty m:val="p"/>
          </m:rPr>
          <m:t>−</m:t>
        </m:r>
        <m:r>
          <m:t>58</m:t>
        </m:r>
        <m:r>
          <m:rPr>
            <m:sty m:val="p"/>
          </m:rPr>
          <m:t>%</m:t>
        </m:r>
      </m:oMath>
      <w:r>
        <w:t xml:space="preserve">). No method reached clinically useful accuracy: even the best had only 14% of nodules within</w:t>
      </w:r>
      <w:r>
        <w:t xml:space="preserve"> </w:t>
      </w:r>
      <m:oMath>
        <m:r>
          <m:rPr>
            <m:sty m:val="p"/>
          </m:rPr>
          <m:t>±</m:t>
        </m:r>
      </m:oMath>
      <w:r>
        <w:t xml:space="preserve">20%, and the clinical 2D baseline had an MdAPE of 88%. For comparison, the radiologists’ own volumes differ by a median coefficient of variation of 15%.</w:t>
      </w:r>
    </w:p>
    <w:p>
      <w:pPr>
        <w:pStyle w:val="BodyText"/>
      </w:pPr>
      <w:r>
        <w:t xml:space="preserve">Two observations explain these numbers. First, image quality and measurement accuracy disagree: the diffusion prior raised the nodule-box PSNR from about 12 dB to 17.49 dB, yet its volumes are the most biased. Second, all learned methods</w:t>
      </w:r>
      <w:r>
        <w:t xml:space="preserve"> </w:t>
      </w:r>
      <w:r>
        <w:rPr>
          <w:iCs/>
          <w:i/>
        </w:rPr>
        <w:t xml:space="preserve">under</w:t>
      </w:r>
      <w:r>
        <w:t xml:space="preserve">-estimate: Figures 4.9 and 4.10 show most diffusion and Gaussian estimates far below the line of identity, and Figure 4.11 shows that the full method’s errors cluster at</w:t>
      </w:r>
      <w:r>
        <w:t xml:space="preserve"> </w:t>
      </w:r>
      <m:oMath>
        <m:r>
          <m:rPr>
            <m:sty m:val="p"/>
          </m:rPr>
          <m:t>−</m:t>
        </m:r>
        <m:r>
          <m:t>100</m:t>
        </m:r>
        <m:r>
          <m:rPr>
            <m:sty m:val="p"/>
          </m:rPr>
          <m:t>%</m:t>
        </m:r>
      </m:oMath>
      <w:r>
        <w:t xml:space="preserve"> </w:t>
      </w:r>
      <w:r>
        <w:t xml:space="preserve">(nodules shrunk or erased) with a few large over-estimates. Figure 4.12 shows the error distributions of volume and mass side by side and the volume error against nodule size: errors are large at every size.</w:t>
      </w:r>
    </w:p>
    <w:p>
      <w:pPr>
        <w:pStyle w:val="BodyText"/>
        <w:jc w:val="center"/>
      </w:pPr>
      <w:r>
        <w:drawing>
          <wp:inline>
            <wp:extent cx="5334000" cy="2695863"/>
            <wp:effectExtent b="0" l="0" r="0" t="0"/>
            <wp:docPr descr="image" title="" id="137" name="Picture"/>
            <a:graphic>
              <a:graphicData uri="http://schemas.openxmlformats.org/drawingml/2006/picture">
                <pic:pic>
                  <pic:nvPicPr>
                    <pic:cNvPr descr="/home/user/medlift3d/report/figures/results/volume_errors.png" id="138" name="Picture"/>
                    <pic:cNvPicPr>
                      <a:picLocks noChangeArrowheads="1" noChangeAspect="1"/>
                    </pic:cNvPicPr>
                  </pic:nvPicPr>
                  <pic:blipFill>
                    <a:blip r:embed="rId136"/>
                    <a:stretch>
                      <a:fillRect/>
                    </a:stretch>
                  </pic:blipFill>
                  <pic:spPr bwMode="auto">
                    <a:xfrm>
                      <a:off x="0" y="0"/>
                      <a:ext cx="5334000" cy="2695863"/>
                    </a:xfrm>
                    <a:prstGeom prst="rect">
                      <a:avLst/>
                    </a:prstGeom>
                    <a:noFill/>
                    <a:ln w="9525">
                      <a:noFill/>
                      <a:headEnd/>
                      <a:tailEnd/>
                    </a:ln>
                  </pic:spPr>
                </pic:pic>
              </a:graphicData>
            </a:graphic>
          </wp:inline>
        </w:drawing>
      </w:r>
    </w:p>
    <w:p>
      <w:pPr>
        <w:pStyle w:val="BodyText"/>
        <w:jc w:val="center"/>
      </w:pPr>
      <w:r>
        <w:rPr>
          <w:bCs/>
          <w:b/>
          <w:iCs/>
          <w:i/>
          <w:sz w:val="20"/>
        </w:rPr>
        <w:t xml:space="preserve">Figure 4.9:</w:t>
      </w:r>
      <w:r>
        <w:rPr>
          <w:iCs/>
          <w:i/>
          <w:sz w:val="20"/>
        </w:rPr>
        <w:t xml:space="preserve"> </w:t>
      </w:r>
      <w:r>
        <w:rPr>
          <w:iCs/>
          <w:i/>
          <w:sz w:val="20"/>
        </w:rPr>
        <w:t xml:space="preserve">Volume error of each method against the radiologist consensus on the test nodules (step 10).</w:t>
      </w:r>
    </w:p>
    <w:p>
      <w:pPr>
        <w:pStyle w:val="BodyText"/>
        <w:jc w:val="center"/>
      </w:pPr>
      <w:r>
        <w:drawing>
          <wp:inline>
            <wp:extent cx="4222865" cy="3873730"/>
            <wp:effectExtent b="0" l="0" r="0" t="0"/>
            <wp:docPr descr="image" title="" id="140" name="Picture"/>
            <a:graphic>
              <a:graphicData uri="http://schemas.openxmlformats.org/drawingml/2006/picture">
                <pic:pic>
                  <pic:nvPicPr>
                    <pic:cNvPr descr="/home/user/medlift3d/report/figures/results/volume_scatter.png" id="141" name="Picture"/>
                    <pic:cNvPicPr>
                      <a:picLocks noChangeArrowheads="1" noChangeAspect="1"/>
                    </pic:cNvPicPr>
                  </pic:nvPicPr>
                  <pic:blipFill>
                    <a:blip r:embed="rId139"/>
                    <a:stretch>
                      <a:fillRect/>
                    </a:stretch>
                  </pic:blipFill>
                  <pic:spPr bwMode="auto">
                    <a:xfrm>
                      <a:off x="0" y="0"/>
                      <a:ext cx="4222865" cy="3873730"/>
                    </a:xfrm>
                    <a:prstGeom prst="rect">
                      <a:avLst/>
                    </a:prstGeom>
                    <a:noFill/>
                    <a:ln w="9525">
                      <a:noFill/>
                      <a:headEnd/>
                      <a:tailEnd/>
                    </a:ln>
                  </pic:spPr>
                </pic:pic>
              </a:graphicData>
            </a:graphic>
          </wp:inline>
        </w:drawing>
      </w:r>
    </w:p>
    <w:p>
      <w:pPr>
        <w:pStyle w:val="BodyText"/>
        <w:jc w:val="center"/>
      </w:pPr>
      <w:r>
        <w:rPr>
          <w:bCs/>
          <w:b/>
          <w:iCs/>
          <w:i/>
          <w:sz w:val="20"/>
        </w:rPr>
        <w:t xml:space="preserve">Figure 4.10:</w:t>
      </w:r>
      <w:r>
        <w:rPr>
          <w:iCs/>
          <w:i/>
          <w:sz w:val="20"/>
        </w:rPr>
        <w:t xml:space="preserve"> </w:t>
      </w:r>
      <w:r>
        <w:rPr>
          <w:iCs/>
          <w:i/>
          <w:sz w:val="20"/>
        </w:rPr>
        <w:t xml:space="preserve">Estimated vs consensus volume for all methods (test nodules); failures are shown at</w:t>
      </w:r>
      <w:r>
        <w:rPr>
          <w:iCs/>
          <w:i/>
          <w:sz w:val="20"/>
        </w:rPr>
        <w:t xml:space="preserve"> </w:t>
      </w:r>
      <m:oMath>
        <m:sSup>
          <m:e>
            <m:r>
              <m:t>10</m:t>
            </m:r>
          </m:e>
          <m:sup>
            <m:r>
              <m:rPr>
                <m:sty m:val="p"/>
              </m:rPr>
              <m:t>−</m:t>
            </m:r>
            <m:r>
              <m:t>3</m:t>
            </m:r>
          </m:sup>
        </m:sSup>
      </m:oMath>
      <w:r>
        <w:rPr>
          <w:iCs/>
          <w:i/>
          <w:sz w:val="20"/>
        </w:rPr>
        <w:t xml:space="preserve"> mm</w:t>
      </w:r>
      <m:oMath>
        <m:sSup>
          <m:e>
            <m:r>
              <m:t>​</m:t>
            </m:r>
          </m:e>
          <m:sup>
            <m:r>
              <m:t>3</m:t>
            </m:r>
          </m:sup>
        </m:sSup>
      </m:oMath>
      <w:r>
        <w:rPr>
          <w:iCs/>
          <w:i/>
          <w:sz w:val="20"/>
        </w:rPr>
        <w:t xml:space="preserve">.</w:t>
      </w:r>
    </w:p>
    <w:p>
      <w:pPr>
        <w:pStyle w:val="BodyText"/>
        <w:jc w:val="center"/>
      </w:pPr>
      <w:r>
        <w:drawing>
          <wp:inline>
            <wp:extent cx="4405745" cy="3308465"/>
            <wp:effectExtent b="0" l="0" r="0" t="0"/>
            <wp:docPr descr="image" title="" id="143" name="Picture"/>
            <a:graphic>
              <a:graphicData uri="http://schemas.openxmlformats.org/drawingml/2006/picture">
                <pic:pic>
                  <pic:nvPicPr>
                    <pic:cNvPr descr="/home/user/medlift3d/report/figures/results/bland_altman_volume.png" id="144" name="Picture"/>
                    <pic:cNvPicPr>
                      <a:picLocks noChangeArrowheads="1" noChangeAspect="1"/>
                    </pic:cNvPicPr>
                  </pic:nvPicPr>
                  <pic:blipFill>
                    <a:blip r:embed="rId142"/>
                    <a:stretch>
                      <a:fillRect/>
                    </a:stretch>
                  </pic:blipFill>
                  <pic:spPr bwMode="auto">
                    <a:xfrm>
                      <a:off x="0" y="0"/>
                      <a:ext cx="4405745" cy="3308465"/>
                    </a:xfrm>
                    <a:prstGeom prst="rect">
                      <a:avLst/>
                    </a:prstGeom>
                    <a:noFill/>
                    <a:ln w="9525">
                      <a:noFill/>
                      <a:headEnd/>
                      <a:tailEnd/>
                    </a:ln>
                  </pic:spPr>
                </pic:pic>
              </a:graphicData>
            </a:graphic>
          </wp:inline>
        </w:drawing>
      </w:r>
    </w:p>
    <w:p>
      <w:pPr>
        <w:pStyle w:val="BodyText"/>
        <w:jc w:val="center"/>
      </w:pPr>
      <w:r>
        <w:rPr>
          <w:bCs/>
          <w:b/>
          <w:iCs/>
          <w:i/>
          <w:sz w:val="20"/>
        </w:rPr>
        <w:t xml:space="preserve">Figure 4.11:</w:t>
      </w:r>
      <w:r>
        <w:rPr>
          <w:iCs/>
          <w:i/>
          <w:sz w:val="20"/>
        </w:rPr>
        <w:t xml:space="preserve"> </w:t>
      </w:r>
      <w:r>
        <w:rPr>
          <w:iCs/>
          <w:i/>
          <w:sz w:val="20"/>
        </w:rPr>
        <w:t xml:space="preserve">Bland–Altman plot of volume for diffusion with Gaussians (test nodules).</w:t>
      </w:r>
    </w:p>
    <w:p>
      <w:pPr>
        <w:pStyle w:val="BodyText"/>
        <w:jc w:val="center"/>
      </w:pPr>
      <w:r>
        <w:drawing>
          <wp:inline>
            <wp:extent cx="5334000" cy="2319749"/>
            <wp:effectExtent b="0" l="0" r="0" t="0"/>
            <wp:docPr descr="image" title="" id="146" name="Picture"/>
            <a:graphic>
              <a:graphicData uri="http://schemas.openxmlformats.org/drawingml/2006/picture">
                <pic:pic>
                  <pic:nvPicPr>
                    <pic:cNvPr descr="/home/user/medlift3d/report/figures/results/error_mass_vs_volume.png" id="147" name="Picture"/>
                    <pic:cNvPicPr>
                      <a:picLocks noChangeArrowheads="1" noChangeAspect="1"/>
                    </pic:cNvPicPr>
                  </pic:nvPicPr>
                  <pic:blipFill>
                    <a:blip r:embed="rId145"/>
                    <a:stretch>
                      <a:fillRect/>
                    </a:stretch>
                  </pic:blipFill>
                  <pic:spPr bwMode="auto">
                    <a:xfrm>
                      <a:off x="0" y="0"/>
                      <a:ext cx="5334000" cy="2319749"/>
                    </a:xfrm>
                    <a:prstGeom prst="rect">
                      <a:avLst/>
                    </a:prstGeom>
                    <a:noFill/>
                    <a:ln w="9525">
                      <a:noFill/>
                      <a:headEnd/>
                      <a:tailEnd/>
                    </a:ln>
                  </pic:spPr>
                </pic:pic>
              </a:graphicData>
            </a:graphic>
          </wp:inline>
        </w:drawing>
      </w:r>
    </w:p>
    <w:p>
      <w:pPr>
        <w:pStyle w:val="BodyText"/>
        <w:jc w:val="center"/>
      </w:pPr>
      <w:r>
        <w:rPr>
          <w:bCs/>
          <w:b/>
          <w:iCs/>
          <w:i/>
          <w:sz w:val="20"/>
        </w:rPr>
        <w:t xml:space="preserve">Figure 4.12:</w:t>
      </w:r>
      <w:r>
        <w:rPr>
          <w:iCs/>
          <w:i/>
          <w:sz w:val="20"/>
        </w:rPr>
        <w:t xml:space="preserve"> </w:t>
      </w:r>
      <w:r>
        <w:rPr>
          <w:iCs/>
          <w:i/>
          <w:sz w:val="20"/>
        </w:rPr>
        <w:t xml:space="preserve">Left: absolute error of volume (V) and mass (M) for each method (test nodules, failures excluded). Right: volume error against nodule size.</w:t>
      </w:r>
    </w:p>
    <w:bookmarkEnd w:id="148"/>
    <w:bookmarkStart w:id="158" w:name="calibrated-uncertainty-h3-h5"/>
    <w:p>
      <w:pPr>
        <w:pStyle w:val="Heading3"/>
      </w:pPr>
      <w:r>
        <w:t xml:space="preserve">4.3.4 Calibrated Uncertainty (H3, H5)</w:t>
      </w:r>
    </w:p>
    <w:p>
      <w:pPr>
        <w:pStyle w:val="FirstParagraph"/>
      </w:pPr>
      <w:r>
        <w:t xml:space="preserve">Table 4.7 gives the conformal intervals of the full method. All variants calibrated on the 76 calibration nodules reach or exceed the 90% target coverage on the test nodules except the Mondrian variant for volume, so the coverage guarantee of conformal prediction held in practice (Figure 4.13). The raw ensemble spread, used as</w:t>
      </w:r>
      <w:r>
        <w:t xml:space="preserve"> </w:t>
      </w:r>
      <m:oMath>
        <m:r>
          <m:rPr>
            <m:sty m:val="p"/>
          </m:rPr>
          <m:t>±</m:t>
        </m:r>
        <m:r>
          <m:t>z</m:t>
        </m:r>
      </m:oMath>
      <w:r>
        <w:t xml:space="preserve"> </w:t>
      </w:r>
      <w:r>
        <w:t xml:space="preserve">standard deviations, covered only 28% at the 90% level.</w:t>
      </w:r>
      <w:r>
        <w:t xml:space="preserve"> </w:t>
      </w:r>
      <w:r>
        <w:rPr>
          <w:bCs/>
          <w:b/>
        </w:rPr>
        <w:t xml:space="preserve">However, the intervals are not informative.</w:t>
      </w:r>
      <w:r>
        <w:t xml:space="preserve"> </w:t>
      </w:r>
      <w:r>
        <w:t xml:space="preserve">Their median width is many orders of magnitude larger than the estimate, and the normalised variants are effectively unbounded. The reason is the failures: a measurement of zero gives an infinite log-error, so with 22–26% failures among the calibration nodules the conformal quantile lands on infinite scores. The Mondrian variant is the only one with finite widths, at about 58 times the estimate. H3 is therefore supported for validity (coverage) but not for usefulness (width), and its sub-claim that mass intervals are narrower than volume intervals cannot be assessed with unbounded widths.</w:t>
      </w:r>
    </w:p>
    <w:p>
      <w:pPr>
        <w:pStyle w:val="BodyText"/>
        <w:jc w:val="center"/>
      </w:pPr>
      <w:r>
        <w:rPr>
          <w:bCs/>
          <w:b/>
          <w:iCs/>
          <w:i/>
          <w:sz w:val="20"/>
        </w:rPr>
        <w:t xml:space="preserve">Table 4.7:</w:t>
      </w:r>
      <w:r>
        <w:rPr>
          <w:iCs/>
          <w:i/>
          <w:sz w:val="20"/>
        </w:rPr>
        <w:t xml:space="preserve"> </w:t>
      </w:r>
      <w:r>
        <w:rPr>
          <w:iCs/>
          <w:i/>
          <w:sz w:val="20"/>
        </w:rPr>
        <w:t xml:space="preserve">Conformal 90% intervals of diffusion with Gaussians on the 74 test nodules (step 16). Width = (upper</w:t>
      </w:r>
      <w:r>
        <w:rPr>
          <w:iCs/>
          <w:i/>
          <w:sz w:val="20"/>
        </w:rPr>
        <w:t xml:space="preserve"> </w:t>
      </w:r>
      <m:oMath>
        <m:r>
          <m:rPr>
            <m:sty m:val="p"/>
          </m:rPr>
          <m:t>−</m:t>
        </m:r>
      </m:oMath>
      <w:r>
        <w:rPr>
          <w:iCs/>
          <w:i/>
          <w:sz w:val="20"/>
        </w:rPr>
        <w:t xml:space="preserve"> </w:t>
      </w:r>
      <w:r>
        <w:rPr>
          <w:iCs/>
          <w:i/>
          <w:sz w:val="20"/>
        </w:rPr>
        <w:t xml:space="preserve">lower) / estimate.</w:t>
      </w:r>
    </w:p>
    <w:tbl>
      <w:tblPr>
        <w:tblStyle w:val="Table"/>
        <w:tblW w:type="auto" w:w="0"/>
        <w:tblLook w:firstRow="0" w:lastRow="0" w:firstColumn="0" w:lastColumn="0" w:noHBand="0" w:noVBand="0" w:val="0000"/>
        <w:jc w:val="start"/>
        <w:tblBorders>
          <w:top w:val="single" w:sz="12" w:color="000000"/>
          <w:bottom w:val="single" w:sz="12" w:color="000000"/>
          <w:insideH w:val="single" w:sz="6" w:color="808080"/>
        </w:tblBorders>
      </w:tblPr>
      <w:tblGrid>
        <w:gridCol w:w="2268"/>
        <w:gridCol w:w="1001"/>
        <w:gridCol w:w="1126"/>
        <w:gridCol w:w="1251"/>
        <w:gridCol w:w="1001"/>
        <w:gridCol w:w="1126"/>
        <w:gridCol w:w="1251"/>
      </w:tblGrid>
      <w:tr>
        <w:tc>
          <w:tcPr>
            <w:tcW w:type="dxa" w:w="2269"/>
          </w:tcPr>
          <w:p>
            <w:pPr>
              <w:pStyle w:val="Compact"/>
              <w:spacing w:line="240" w:lineRule="auto" w:after="40"/>
            </w:pPr>
          </w:p>
        </w:tc>
        <w:tc>
          <w:tcPr>
            <w:tcW w:type="dxa" w:w="1252"/>
            <w:gridSpan w:val="3"/>
          </w:tcPr>
          <w:p>
            <w:pPr>
              <w:pStyle w:val="Compact"/>
              <w:spacing w:line="240" w:lineRule="auto" w:after="40"/>
              <w:jc w:val="center"/>
            </w:pPr>
            <w:r>
              <w:rPr>
                <w:b/>
                <w:sz w:val="19"/>
              </w:rPr>
              <w:t xml:space="preserve">Volume</w:t>
            </w:r>
          </w:p>
        </w:tc>
        <w:tc>
          <w:tcPr>
            <w:tcW w:type="dxa" w:w="1252"/>
            <w:gridSpan w:val="3"/>
          </w:tcPr>
          <w:p>
            <w:pPr>
              <w:pStyle w:val="Compact"/>
              <w:spacing w:line="240" w:lineRule="auto" w:after="40"/>
              <w:jc w:val="center"/>
            </w:pPr>
            <w:r>
              <w:rPr>
                <w:b/>
                <w:sz w:val="19"/>
              </w:rPr>
              <w:t xml:space="preserve">Mass</w:t>
            </w:r>
          </w:p>
        </w:tc>
      </w:tr>
      <w:tr>
        <w:tc>
          <w:tcPr>
            <w:tcW w:type="dxa" w:w="2269"/>
          </w:tcPr>
          <w:p>
            <w:pPr>
              <w:pStyle w:val="Compact"/>
              <w:spacing w:line="240" w:lineRule="auto" w:after="40"/>
              <w:jc w:val="left"/>
            </w:pPr>
            <w:r>
              <w:rPr>
                <w:sz w:val="19"/>
              </w:rPr>
              <w:t xml:space="preserve">Variant</w:t>
            </w:r>
          </w:p>
        </w:tc>
        <w:tc>
          <w:tcPr>
            <w:tcW w:type="dxa" w:w="1001"/>
          </w:tcPr>
          <w:p>
            <w:pPr>
              <w:pStyle w:val="Compact"/>
              <w:spacing w:line="240" w:lineRule="auto" w:after="40"/>
              <w:jc w:val="center"/>
            </w:pPr>
            <w:r>
              <w:rPr>
                <w:sz w:val="19"/>
              </w:rPr>
              <w:t xml:space="preserve">Coverage</w:t>
            </w:r>
          </w:p>
        </w:tc>
        <w:tc>
          <w:tcPr>
            <w:tcW w:type="dxa" w:w="1127"/>
          </w:tcPr>
          <w:p>
            <w:pPr>
              <w:pStyle w:val="Compact"/>
              <w:spacing w:line="240" w:lineRule="auto" w:after="40"/>
              <w:jc w:val="center"/>
            </w:pPr>
            <w:r>
              <w:rPr>
                <w:sz w:val="19"/>
              </w:rPr>
              <w:t xml:space="preserve">Median width</w:t>
            </w:r>
          </w:p>
        </w:tc>
        <w:tc>
          <w:tcPr>
            <w:tcW w:type="dxa" w:w="1252"/>
          </w:tcPr>
          <w:p>
            <w:pPr>
              <w:pStyle w:val="Compact"/>
              <w:spacing w:line="240" w:lineRule="auto" w:after="40"/>
              <w:jc w:val="center"/>
            </w:pPr>
            <w:r>
              <w:rPr>
                <w:sz w:val="19"/>
              </w:rPr>
              <w:t xml:space="preserve">Worst size group</w:t>
            </w:r>
          </w:p>
        </w:tc>
        <w:tc>
          <w:tcPr>
            <w:tcW w:type="dxa" w:w="1001"/>
          </w:tcPr>
          <w:p>
            <w:pPr>
              <w:pStyle w:val="Compact"/>
              <w:spacing w:line="240" w:lineRule="auto" w:after="40"/>
              <w:jc w:val="center"/>
            </w:pPr>
            <w:r>
              <w:rPr>
                <w:sz w:val="19"/>
              </w:rPr>
              <w:t xml:space="preserve">Coverage</w:t>
            </w:r>
          </w:p>
        </w:tc>
        <w:tc>
          <w:tcPr>
            <w:tcW w:type="dxa" w:w="1127"/>
          </w:tcPr>
          <w:p>
            <w:pPr>
              <w:pStyle w:val="Compact"/>
              <w:spacing w:line="240" w:lineRule="auto" w:after="40"/>
              <w:jc w:val="center"/>
            </w:pPr>
            <w:r>
              <w:rPr>
                <w:sz w:val="19"/>
              </w:rPr>
              <w:t xml:space="preserve">Median width</w:t>
            </w:r>
          </w:p>
        </w:tc>
        <w:tc>
          <w:tcPr>
            <w:tcW w:type="dxa" w:w="1252"/>
          </w:tcPr>
          <w:p>
            <w:pPr>
              <w:pStyle w:val="Compact"/>
              <w:spacing w:line="240" w:lineRule="auto" w:after="40"/>
              <w:jc w:val="center"/>
            </w:pPr>
            <w:r>
              <w:rPr>
                <w:sz w:val="19"/>
              </w:rPr>
              <w:t xml:space="preserve">Worst size group</w:t>
            </w:r>
          </w:p>
        </w:tc>
      </w:tr>
      <w:tr>
        <w:tc>
          <w:tcPr>
            <w:tcW w:type="dxa" w:w="2269"/>
          </w:tcPr>
          <w:p>
            <w:pPr>
              <w:pStyle w:val="Compact"/>
              <w:spacing w:line="240" w:lineRule="auto" w:after="40"/>
              <w:jc w:val="left"/>
            </w:pPr>
            <w:r>
              <w:rPr>
                <w:sz w:val="19"/>
              </w:rPr>
              <w:t xml:space="preserve">Standard</w:t>
            </w:r>
          </w:p>
        </w:tc>
        <w:tc>
          <w:tcPr>
            <w:tcW w:type="dxa" w:w="1001"/>
          </w:tcPr>
          <w:p>
            <w:pPr>
              <w:pStyle w:val="Compact"/>
              <w:spacing w:line="240" w:lineRule="auto" w:after="40"/>
              <w:jc w:val="center"/>
            </w:pPr>
            <w:r>
              <w:rPr>
                <w:sz w:val="19"/>
              </w:rPr>
              <w:t xml:space="preserve">96%</w:t>
            </w:r>
          </w:p>
        </w:tc>
        <w:tc>
          <w:tcPr>
            <w:tcW w:type="dxa" w:w="1127"/>
          </w:tcPr>
          <w:p>
            <w:pPr>
              <w:pStyle w:val="Compact"/>
              <w:spacing w:line="240" w:lineRule="auto" w:after="40"/>
              <w:jc w:val="center"/>
            </w:pPr>
            <m:oMath>
              <m:r>
                <m:t>1.2</m:t>
              </m:r>
              <m:r>
                <m:rPr>
                  <m:sty m:val="p"/>
                </m:rPr>
                <m:t>×</m:t>
              </m:r>
              <m:sSup>
                <m:e>
                  <m:r>
                    <m:t>10</m:t>
                  </m:r>
                </m:e>
                <m:sup>
                  <m:r>
                    <m:t>8</m:t>
                  </m:r>
                </m:sup>
              </m:sSup>
              <m:r>
                <m:rPr>
                  <m:sty m:val="p"/>
                </m:rPr>
                <m:t>%</m:t>
              </m:r>
            </m:oMath>
          </w:p>
        </w:tc>
        <w:tc>
          <w:tcPr>
            <w:tcW w:type="dxa" w:w="1252"/>
          </w:tcPr>
          <w:p>
            <w:pPr>
              <w:pStyle w:val="Compact"/>
              <w:spacing w:line="240" w:lineRule="auto" w:after="40"/>
              <w:jc w:val="center"/>
            </w:pPr>
            <w:r>
              <w:rPr>
                <w:sz w:val="19"/>
              </w:rPr>
              <w:t xml:space="preserve">88%</w:t>
            </w:r>
          </w:p>
        </w:tc>
        <w:tc>
          <w:tcPr>
            <w:tcW w:type="dxa" w:w="1001"/>
          </w:tcPr>
          <w:p>
            <w:pPr>
              <w:pStyle w:val="Compact"/>
              <w:spacing w:line="240" w:lineRule="auto" w:after="40"/>
              <w:jc w:val="center"/>
            </w:pPr>
            <w:r>
              <w:rPr>
                <w:sz w:val="19"/>
              </w:rPr>
              <w:t xml:space="preserve">96%</w:t>
            </w:r>
          </w:p>
        </w:tc>
        <w:tc>
          <w:tcPr>
            <w:tcW w:type="dxa" w:w="1127"/>
          </w:tcPr>
          <w:p>
            <w:pPr>
              <w:pStyle w:val="Compact"/>
              <w:spacing w:line="240" w:lineRule="auto" w:after="40"/>
              <w:jc w:val="center"/>
            </w:pPr>
            <m:oMath>
              <m:r>
                <m:t>5.1</m:t>
              </m:r>
              <m:r>
                <m:rPr>
                  <m:sty m:val="p"/>
                </m:rPr>
                <m:t>×</m:t>
              </m:r>
              <m:sSup>
                <m:e>
                  <m:r>
                    <m:t>10</m:t>
                  </m:r>
                </m:e>
                <m:sup>
                  <m:r>
                    <m:t>7</m:t>
                  </m:r>
                </m:sup>
              </m:sSup>
              <m:r>
                <m:rPr>
                  <m:sty m:val="p"/>
                </m:rPr>
                <m:t>%</m:t>
              </m:r>
            </m:oMath>
          </w:p>
        </w:tc>
        <w:tc>
          <w:tcPr>
            <w:tcW w:type="dxa" w:w="1252"/>
          </w:tcPr>
          <w:p>
            <w:pPr>
              <w:pStyle w:val="Compact"/>
              <w:spacing w:line="240" w:lineRule="auto" w:after="40"/>
              <w:jc w:val="center"/>
            </w:pPr>
            <w:r>
              <w:rPr>
                <w:sz w:val="19"/>
              </w:rPr>
              <w:t xml:space="preserve">89%</w:t>
            </w:r>
          </w:p>
        </w:tc>
      </w:tr>
      <w:tr>
        <w:tc>
          <w:tcPr>
            <w:tcW w:type="dxa" w:w="2269"/>
          </w:tcPr>
          <w:p>
            <w:pPr>
              <w:pStyle w:val="Compact"/>
              <w:spacing w:line="240" w:lineRule="auto" w:after="40"/>
              <w:jc w:val="left"/>
            </w:pPr>
            <w:r>
              <w:rPr>
                <w:sz w:val="19"/>
              </w:rPr>
              <w:t xml:space="preserve">Normalised by ensemble spread</w:t>
            </w:r>
          </w:p>
        </w:tc>
        <w:tc>
          <w:tcPr>
            <w:tcW w:type="dxa" w:w="1001"/>
          </w:tcPr>
          <w:p>
            <w:pPr>
              <w:pStyle w:val="Compact"/>
              <w:spacing w:line="240" w:lineRule="auto" w:after="40"/>
              <w:jc w:val="center"/>
            </w:pPr>
            <w:r>
              <w:rPr>
                <w:sz w:val="19"/>
              </w:rPr>
              <w:t xml:space="preserve">95%</w:t>
            </w:r>
          </w:p>
        </w:tc>
        <w:tc>
          <w:tcPr>
            <w:tcW w:type="dxa" w:w="1127"/>
          </w:tcPr>
          <w:p>
            <w:pPr>
              <w:pStyle w:val="Compact"/>
              <w:spacing w:line="240" w:lineRule="auto" w:after="40"/>
              <w:jc w:val="center"/>
            </w:pPr>
            <w:r>
              <w:rPr>
                <w:sz w:val="19"/>
              </w:rPr>
              <w:t xml:space="preserve">unbounded</w:t>
            </w:r>
          </w:p>
        </w:tc>
        <w:tc>
          <w:tcPr>
            <w:tcW w:type="dxa" w:w="1252"/>
          </w:tcPr>
          <w:p>
            <w:pPr>
              <w:pStyle w:val="Compact"/>
              <w:spacing w:line="240" w:lineRule="auto" w:after="40"/>
              <w:jc w:val="center"/>
            </w:pPr>
            <w:r>
              <w:rPr>
                <w:sz w:val="19"/>
              </w:rPr>
              <w:t xml:space="preserve">82%</w:t>
            </w:r>
          </w:p>
        </w:tc>
        <w:tc>
          <w:tcPr>
            <w:tcW w:type="dxa" w:w="1001"/>
          </w:tcPr>
          <w:p>
            <w:pPr>
              <w:pStyle w:val="Compact"/>
              <w:spacing w:line="240" w:lineRule="auto" w:after="40"/>
              <w:jc w:val="center"/>
            </w:pPr>
            <w:r>
              <w:rPr>
                <w:sz w:val="19"/>
              </w:rPr>
              <w:t xml:space="preserve">95%</w:t>
            </w:r>
          </w:p>
        </w:tc>
        <w:tc>
          <w:tcPr>
            <w:tcW w:type="dxa" w:w="1127"/>
          </w:tcPr>
          <w:p>
            <w:pPr>
              <w:pStyle w:val="Compact"/>
              <w:spacing w:line="240" w:lineRule="auto" w:after="40"/>
              <w:jc w:val="center"/>
            </w:pPr>
            <w:r>
              <w:rPr>
                <w:sz w:val="19"/>
              </w:rPr>
              <w:t xml:space="preserve">unbounded</w:t>
            </w:r>
          </w:p>
        </w:tc>
        <w:tc>
          <w:tcPr>
            <w:tcW w:type="dxa" w:w="1252"/>
          </w:tcPr>
          <w:p>
            <w:pPr>
              <w:pStyle w:val="Compact"/>
              <w:spacing w:line="240" w:lineRule="auto" w:after="40"/>
              <w:jc w:val="center"/>
            </w:pPr>
            <w:r>
              <w:rPr>
                <w:sz w:val="19"/>
              </w:rPr>
              <w:t xml:space="preserve">89%</w:t>
            </w:r>
          </w:p>
        </w:tc>
      </w:tr>
      <w:tr>
        <w:tc>
          <w:tcPr>
            <w:tcW w:type="dxa" w:w="2269"/>
          </w:tcPr>
          <w:p>
            <w:pPr>
              <w:pStyle w:val="Compact"/>
              <w:spacing w:line="240" w:lineRule="auto" w:after="40"/>
              <w:jc w:val="left"/>
            </w:pPr>
            <w:r>
              <w:rPr>
                <w:sz w:val="19"/>
              </w:rPr>
              <w:t xml:space="preserve">Mondrian size groups</w:t>
            </w:r>
          </w:p>
        </w:tc>
        <w:tc>
          <w:tcPr>
            <w:tcW w:type="dxa" w:w="1001"/>
          </w:tcPr>
          <w:p>
            <w:pPr>
              <w:pStyle w:val="Compact"/>
              <w:spacing w:line="240" w:lineRule="auto" w:after="40"/>
              <w:jc w:val="center"/>
            </w:pPr>
            <w:r>
              <w:rPr>
                <w:sz w:val="19"/>
              </w:rPr>
              <w:t xml:space="preserve">78%</w:t>
            </w:r>
          </w:p>
        </w:tc>
        <w:tc>
          <w:tcPr>
            <w:tcW w:type="dxa" w:w="1127"/>
          </w:tcPr>
          <w:p>
            <w:pPr>
              <w:pStyle w:val="Compact"/>
              <w:spacing w:line="240" w:lineRule="auto" w:after="40"/>
              <w:jc w:val="center"/>
            </w:pPr>
            <w:r>
              <w:rPr>
                <w:bCs/>
                <w:b/>
                <w:sz w:val="19"/>
              </w:rPr>
              <w:t xml:space="preserve">5784%</w:t>
            </w:r>
          </w:p>
        </w:tc>
        <w:tc>
          <w:tcPr>
            <w:tcW w:type="dxa" w:w="1252"/>
          </w:tcPr>
          <w:p>
            <w:pPr>
              <w:pStyle w:val="Compact"/>
              <w:spacing w:line="240" w:lineRule="auto" w:after="40"/>
              <w:jc w:val="center"/>
            </w:pPr>
            <w:r>
              <w:rPr>
                <w:sz w:val="19"/>
              </w:rPr>
              <w:t xml:space="preserve">67%</w:t>
            </w:r>
          </w:p>
        </w:tc>
        <w:tc>
          <w:tcPr>
            <w:tcW w:type="dxa" w:w="1001"/>
          </w:tcPr>
          <w:p>
            <w:pPr>
              <w:pStyle w:val="Compact"/>
              <w:spacing w:line="240" w:lineRule="auto" w:after="40"/>
              <w:jc w:val="center"/>
            </w:pPr>
            <w:r>
              <w:rPr>
                <w:sz w:val="19"/>
              </w:rPr>
              <w:t xml:space="preserve">92%</w:t>
            </w:r>
          </w:p>
        </w:tc>
        <w:tc>
          <w:tcPr>
            <w:tcW w:type="dxa" w:w="1127"/>
          </w:tcPr>
          <w:p>
            <w:pPr>
              <w:pStyle w:val="Compact"/>
              <w:spacing w:line="240" w:lineRule="auto" w:after="40"/>
              <w:jc w:val="center"/>
            </w:pPr>
            <w:r>
              <w:rPr>
                <w:bCs/>
                <w:b/>
                <w:sz w:val="19"/>
              </w:rPr>
              <w:t xml:space="preserve">6208%</w:t>
            </w:r>
          </w:p>
        </w:tc>
        <w:tc>
          <w:tcPr>
            <w:tcW w:type="dxa" w:w="1252"/>
          </w:tcPr>
          <w:p>
            <w:pPr>
              <w:pStyle w:val="Compact"/>
              <w:spacing w:line="240" w:lineRule="auto" w:after="40"/>
              <w:jc w:val="center"/>
            </w:pPr>
            <w:r>
              <w:rPr>
                <w:sz w:val="19"/>
              </w:rPr>
              <w:t xml:space="preserve">89%</w:t>
            </w:r>
          </w:p>
        </w:tc>
      </w:tr>
      <w:tr>
        <w:tc>
          <w:tcPr>
            <w:tcW w:type="dxa" w:w="2269"/>
          </w:tcPr>
          <w:p>
            <w:pPr>
              <w:pStyle w:val="Compact"/>
              <w:spacing w:line="240" w:lineRule="auto" w:after="40"/>
              <w:jc w:val="left"/>
            </w:pPr>
            <w:r>
              <w:rPr>
                <w:sz w:val="19"/>
              </w:rPr>
              <w:t xml:space="preserve">Mondrian + normalised</w:t>
            </w:r>
          </w:p>
        </w:tc>
        <w:tc>
          <w:tcPr>
            <w:tcW w:type="dxa" w:w="1001"/>
          </w:tcPr>
          <w:p>
            <w:pPr>
              <w:pStyle w:val="Compact"/>
              <w:spacing w:line="240" w:lineRule="auto" w:after="40"/>
              <w:jc w:val="center"/>
            </w:pPr>
            <w:r>
              <w:rPr>
                <w:sz w:val="19"/>
              </w:rPr>
              <w:t xml:space="preserve">88%</w:t>
            </w:r>
          </w:p>
        </w:tc>
        <w:tc>
          <w:tcPr>
            <w:tcW w:type="dxa" w:w="1127"/>
          </w:tcPr>
          <w:p>
            <w:pPr>
              <w:pStyle w:val="Compact"/>
              <w:spacing w:line="240" w:lineRule="auto" w:after="40"/>
              <w:jc w:val="center"/>
            </w:pPr>
            <m:oMath>
              <m:r>
                <m:t>4.9</m:t>
              </m:r>
              <m:r>
                <m:rPr>
                  <m:sty m:val="p"/>
                </m:rPr>
                <m:t>×</m:t>
              </m:r>
              <m:sSup>
                <m:e>
                  <m:r>
                    <m:t>10</m:t>
                  </m:r>
                </m:e>
                <m:sup>
                  <m:r>
                    <m:t>6</m:t>
                  </m:r>
                </m:sup>
              </m:sSup>
              <m:r>
                <m:rPr>
                  <m:sty m:val="p"/>
                </m:rPr>
                <m:t>%</m:t>
              </m:r>
            </m:oMath>
          </w:p>
        </w:tc>
        <w:tc>
          <w:tcPr>
            <w:tcW w:type="dxa" w:w="1252"/>
          </w:tcPr>
          <w:p>
            <w:pPr>
              <w:pStyle w:val="Compact"/>
              <w:spacing w:line="240" w:lineRule="auto" w:after="40"/>
              <w:jc w:val="center"/>
            </w:pPr>
            <w:r>
              <w:rPr>
                <w:sz w:val="19"/>
              </w:rPr>
              <w:t xml:space="preserve">79%</w:t>
            </w:r>
          </w:p>
        </w:tc>
        <w:tc>
          <w:tcPr>
            <w:tcW w:type="dxa" w:w="1001"/>
          </w:tcPr>
          <w:p>
            <w:pPr>
              <w:pStyle w:val="Compact"/>
              <w:spacing w:line="240" w:lineRule="auto" w:after="40"/>
              <w:jc w:val="center"/>
            </w:pPr>
            <w:r>
              <w:rPr>
                <w:sz w:val="19"/>
              </w:rPr>
              <w:t xml:space="preserve">97%</w:t>
            </w:r>
          </w:p>
        </w:tc>
        <w:tc>
          <w:tcPr>
            <w:tcW w:type="dxa" w:w="1127"/>
          </w:tcPr>
          <w:p>
            <w:pPr>
              <w:pStyle w:val="Compact"/>
              <w:spacing w:line="240" w:lineRule="auto" w:after="40"/>
              <w:jc w:val="center"/>
            </w:pPr>
            <m:oMath>
              <m:r>
                <m:t>3.2</m:t>
              </m:r>
              <m:r>
                <m:rPr>
                  <m:sty m:val="p"/>
                </m:rPr>
                <m:t>×</m:t>
              </m:r>
              <m:sSup>
                <m:e>
                  <m:r>
                    <m:t>10</m:t>
                  </m:r>
                </m:e>
                <m:sup>
                  <m:r>
                    <m:t>7</m:t>
                  </m:r>
                </m:sup>
              </m:sSup>
              <m:r>
                <m:rPr>
                  <m:sty m:val="p"/>
                </m:rPr>
                <m:t>%</m:t>
              </m:r>
            </m:oMath>
          </w:p>
        </w:tc>
        <w:tc>
          <w:tcPr>
            <w:tcW w:type="dxa" w:w="1252"/>
          </w:tcPr>
          <w:p>
            <w:pPr>
              <w:pStyle w:val="Compact"/>
              <w:spacing w:line="240" w:lineRule="auto" w:after="40"/>
              <w:jc w:val="center"/>
            </w:pPr>
            <w:r>
              <w:rPr>
                <w:bCs/>
                <w:b/>
                <w:sz w:val="19"/>
              </w:rPr>
              <w:t xml:space="preserve">96%</w:t>
            </w:r>
          </w:p>
        </w:tc>
      </w:tr>
    </w:tbl>
    <w:p>
      <w:pPr>
        <w:pStyle w:val="BodyText"/>
        <w:jc w:val="center"/>
      </w:pPr>
      <w:r>
        <w:rPr>
          <w:bCs/>
          <w:b/>
          <w:iCs/>
          <w:i/>
          <w:sz w:val="20"/>
        </w:rPr>
        <w:t xml:space="preserve">Table 5.4:</w:t>
      </w:r>
      <w:r>
        <w:rPr>
          <w:iCs/>
          <w:i/>
          <w:sz w:val="20"/>
        </w:rPr>
        <w:t xml:space="preserve"> </w:t>
      </w:r>
      <w:r>
        <w:rPr>
          <w:iCs/>
          <w:i/>
          <w:sz w:val="20"/>
        </w:rPr>
        <w:t xml:space="preserve">EUPS category probabilities on the test nodules (step 16). Lower Brier score and ECE are better.</w:t>
      </w:r>
    </w:p>
    <w:tbl>
      <w:tblPr>
        <w:tblStyle w:val="Table"/>
        <w:tblW w:type="auto" w:w="0"/>
        <w:tblLook w:firstRow="1" w:lastRow="0" w:firstColumn="0" w:lastColumn="0" w:noHBand="0" w:noVBand="0" w:val="0020"/>
        <w:jc w:val="start"/>
        <w:tblBorders>
          <w:top w:val="single" w:sz="12" w:color="000000"/>
          <w:bottom w:val="single" w:sz="12" w:color="000000"/>
          <w:insideH w:val="single" w:sz="6" w:color="808080"/>
        </w:tblBorders>
      </w:tblPr>
      <w:tblGrid>
        <w:gridCol w:w="3819"/>
        <w:gridCol w:w="694"/>
        <w:gridCol w:w="694"/>
        <w:gridCol w:w="694"/>
        <w:gridCol w:w="694"/>
        <w:gridCol w:w="2430"/>
      </w:tblGrid>
      <w:tr>
        <w:trPr>
          <w:tblHeader w:val="true"/>
        </w:trPr>
        <w:tc>
          <w:tcPr>
            <w:tcW w:type="dxa" w:w="3820"/>
          </w:tcPr>
          <w:p>
            <w:pPr>
              <w:pStyle w:val="Compact"/>
              <w:spacing w:line="240" w:lineRule="auto" w:after="40"/>
              <w:jc w:val="left"/>
            </w:pPr>
            <w:r>
              <w:rPr>
                <w:b/>
                <w:sz w:val="19"/>
              </w:rPr>
              <w:t xml:space="preserve">Probabilities from</w:t>
            </w:r>
          </w:p>
        </w:tc>
        <w:tc>
          <w:tcPr>
            <w:tcW w:type="dxa" w:w="695"/>
          </w:tcPr>
          <w:p>
            <w:pPr>
              <w:pStyle w:val="Compact"/>
              <w:spacing w:line="240" w:lineRule="auto" w:after="40"/>
              <w:jc w:val="center"/>
            </w:pPr>
            <w:r>
              <w:rPr>
                <w:b/>
                <w:sz w:val="19"/>
              </w:rPr>
              <w:t xml:space="preserve">Brier</w:t>
            </w:r>
            <w:r>
              <w:rPr>
                <w:b/>
                <w:sz w:val="19"/>
              </w:rPr>
              <w:t xml:space="preserve"> </w:t>
            </w:r>
            <m:oMath>
              <m:r>
                <m:t>P</m:t>
              </m:r>
              <m:d>
                <m:dPr>
                  <m:begChr m:val="("/>
                  <m:endChr m:val=")"/>
                  <m:sepChr m:val=""/>
                  <m:grow/>
                </m:dPr>
                <m:e>
                  <m:r>
                    <m:t>V</m:t>
                  </m:r>
                  <m:r>
                    <m:rPr>
                      <m:sty m:val="p"/>
                    </m:rPr>
                    <m:t>≥</m:t>
                  </m:r>
                  <m:r>
                    <m:t>100</m:t>
                  </m:r>
                </m:e>
              </m:d>
            </m:oMath>
          </w:p>
        </w:tc>
        <w:tc>
          <w:tcPr>
            <w:tcW w:type="dxa" w:w="695"/>
          </w:tcPr>
          <w:p>
            <w:pPr>
              <w:pStyle w:val="Compact"/>
              <w:spacing w:line="240" w:lineRule="auto" w:after="40"/>
              <w:jc w:val="center"/>
            </w:pPr>
            <w:r>
              <w:rPr>
                <w:b/>
                <w:sz w:val="19"/>
              </w:rPr>
              <w:t xml:space="preserve">ECE</w:t>
            </w:r>
            <w:r>
              <w:rPr>
                <w:b/>
                <w:sz w:val="19"/>
              </w:rPr>
              <w:t xml:space="preserve"> </w:t>
            </w:r>
            <m:oMath>
              <m:r>
                <m:t>P</m:t>
              </m:r>
              <m:d>
                <m:dPr>
                  <m:begChr m:val="("/>
                  <m:endChr m:val=")"/>
                  <m:sepChr m:val=""/>
                  <m:grow/>
                </m:dPr>
                <m:e>
                  <m:r>
                    <m:t>V</m:t>
                  </m:r>
                  <m:r>
                    <m:rPr>
                      <m:sty m:val="p"/>
                    </m:rPr>
                    <m:t>≥</m:t>
                  </m:r>
                  <m:r>
                    <m:t>100</m:t>
                  </m:r>
                </m:e>
              </m:d>
            </m:oMath>
          </w:p>
        </w:tc>
        <w:tc>
          <w:tcPr>
            <w:tcW w:type="dxa" w:w="695"/>
          </w:tcPr>
          <w:p>
            <w:pPr>
              <w:pStyle w:val="Compact"/>
              <w:spacing w:line="240" w:lineRule="auto" w:after="40"/>
              <w:jc w:val="center"/>
            </w:pPr>
            <w:r>
              <w:rPr>
                <w:b/>
                <w:sz w:val="19"/>
              </w:rPr>
              <w:t xml:space="preserve">Brier</w:t>
            </w:r>
            <w:r>
              <w:rPr>
                <w:b/>
                <w:sz w:val="19"/>
              </w:rPr>
              <w:t xml:space="preserve"> </w:t>
            </w:r>
            <m:oMath>
              <m:r>
                <m:t>P</m:t>
              </m:r>
              <m:d>
                <m:dPr>
                  <m:begChr m:val="("/>
                  <m:endChr m:val=")"/>
                  <m:sepChr m:val=""/>
                  <m:grow/>
                </m:dPr>
                <m:e>
                  <m:r>
                    <m:t>V</m:t>
                  </m:r>
                  <m:r>
                    <m:rPr>
                      <m:sty m:val="p"/>
                    </m:rPr>
                    <m:t>≥</m:t>
                  </m:r>
                  <m:r>
                    <m:t>300</m:t>
                  </m:r>
                </m:e>
              </m:d>
            </m:oMath>
          </w:p>
        </w:tc>
        <w:tc>
          <w:tcPr>
            <w:tcW w:type="dxa" w:w="695"/>
          </w:tcPr>
          <w:p>
            <w:pPr>
              <w:pStyle w:val="Compact"/>
              <w:spacing w:line="240" w:lineRule="auto" w:after="40"/>
              <w:jc w:val="center"/>
            </w:pPr>
            <w:r>
              <w:rPr>
                <w:b/>
                <w:sz w:val="19"/>
              </w:rPr>
              <w:t xml:space="preserve">ECE</w:t>
            </w:r>
            <w:r>
              <w:rPr>
                <w:b/>
                <w:sz w:val="19"/>
              </w:rPr>
              <w:t xml:space="preserve"> </w:t>
            </w:r>
            <m:oMath>
              <m:r>
                <m:t>P</m:t>
              </m:r>
              <m:d>
                <m:dPr>
                  <m:begChr m:val="("/>
                  <m:endChr m:val=")"/>
                  <m:sepChr m:val=""/>
                  <m:grow/>
                </m:dPr>
                <m:e>
                  <m:r>
                    <m:t>V</m:t>
                  </m:r>
                  <m:r>
                    <m:rPr>
                      <m:sty m:val="p"/>
                    </m:rPr>
                    <m:t>≥</m:t>
                  </m:r>
                  <m:r>
                    <m:t>300</m:t>
                  </m:r>
                </m:e>
              </m:d>
            </m:oMath>
          </w:p>
        </w:tc>
        <w:tc>
          <w:tcPr>
            <w:tcW w:type="dxa" w:w="2431"/>
          </w:tcPr>
          <w:p>
            <w:pPr>
              <w:pStyle w:val="Compact"/>
              <w:spacing w:line="240" w:lineRule="auto" w:after="40"/>
              <w:jc w:val="center"/>
            </w:pPr>
            <w:r>
              <w:rPr>
                <w:b/>
                <w:sz w:val="19"/>
              </w:rPr>
              <w:t xml:space="preserve">Most likely category correct</w:t>
            </w:r>
          </w:p>
        </w:tc>
      </w:tr>
      <w:tr>
        <w:tc>
          <w:tcPr>
            <w:tcW w:type="dxa" w:w="3820"/>
          </w:tcPr>
          <w:p>
            <w:pPr>
              <w:pStyle w:val="Compact"/>
              <w:spacing w:line="240" w:lineRule="auto" w:after="40"/>
              <w:jc w:val="left"/>
            </w:pPr>
            <w:r>
              <w:rPr>
                <w:sz w:val="19"/>
              </w:rPr>
              <w:t xml:space="preserve">Conformal (normalised)</w:t>
            </w:r>
          </w:p>
        </w:tc>
        <w:tc>
          <w:tcPr>
            <w:tcW w:type="dxa" w:w="695"/>
          </w:tcPr>
          <w:p>
            <w:pPr>
              <w:pStyle w:val="Compact"/>
              <w:spacing w:line="240" w:lineRule="auto" w:after="40"/>
              <w:jc w:val="center"/>
            </w:pPr>
            <w:r>
              <w:rPr>
                <w:sz w:val="19"/>
              </w:rPr>
              <w:t xml:space="preserve">0.234</w:t>
            </w:r>
          </w:p>
        </w:tc>
        <w:tc>
          <w:tcPr>
            <w:tcW w:type="dxa" w:w="695"/>
          </w:tcPr>
          <w:p>
            <w:pPr>
              <w:pStyle w:val="Compact"/>
              <w:spacing w:line="240" w:lineRule="auto" w:after="40"/>
              <w:jc w:val="center"/>
            </w:pPr>
            <w:r>
              <w:rPr>
                <w:sz w:val="19"/>
              </w:rPr>
              <w:t xml:space="preserve">0.206</w:t>
            </w:r>
          </w:p>
        </w:tc>
        <w:tc>
          <w:tcPr>
            <w:tcW w:type="dxa" w:w="695"/>
          </w:tcPr>
          <w:p>
            <w:pPr>
              <w:pStyle w:val="Compact"/>
              <w:spacing w:line="240" w:lineRule="auto" w:after="40"/>
              <w:jc w:val="center"/>
            </w:pPr>
            <w:r>
              <w:rPr>
                <w:bCs/>
                <w:b/>
                <w:sz w:val="19"/>
              </w:rPr>
              <w:t xml:space="preserve">0.284</w:t>
            </w:r>
          </w:p>
        </w:tc>
        <w:tc>
          <w:tcPr>
            <w:tcW w:type="dxa" w:w="695"/>
          </w:tcPr>
          <w:p>
            <w:pPr>
              <w:pStyle w:val="Compact"/>
              <w:spacing w:line="240" w:lineRule="auto" w:after="40"/>
              <w:jc w:val="center"/>
            </w:pPr>
            <w:r>
              <w:rPr>
                <w:bCs/>
                <w:b/>
                <w:sz w:val="19"/>
              </w:rPr>
              <w:t xml:space="preserve">0.236</w:t>
            </w:r>
          </w:p>
        </w:tc>
        <w:tc>
          <w:tcPr>
            <w:tcW w:type="dxa" w:w="2431"/>
          </w:tcPr>
          <w:p>
            <w:pPr>
              <w:pStyle w:val="Compact"/>
              <w:spacing w:line="240" w:lineRule="auto" w:after="40"/>
              <w:jc w:val="center"/>
            </w:pPr>
            <w:r>
              <w:rPr>
                <w:bCs/>
                <w:b/>
                <w:sz w:val="19"/>
              </w:rPr>
              <w:t xml:space="preserve">38%</w:t>
            </w:r>
          </w:p>
        </w:tc>
      </w:tr>
      <w:tr>
        <w:tc>
          <w:tcPr>
            <w:tcW w:type="dxa" w:w="3820"/>
          </w:tcPr>
          <w:p>
            <w:pPr>
              <w:pStyle w:val="Compact"/>
              <w:spacing w:line="240" w:lineRule="auto" w:after="40"/>
              <w:jc w:val="left"/>
            </w:pPr>
            <w:r>
              <w:rPr>
                <w:sz w:val="19"/>
              </w:rPr>
              <w:t xml:space="preserve">Conformal (Mondrian + normalised)</w:t>
            </w:r>
          </w:p>
        </w:tc>
        <w:tc>
          <w:tcPr>
            <w:tcW w:type="dxa" w:w="695"/>
          </w:tcPr>
          <w:p>
            <w:pPr>
              <w:pStyle w:val="Compact"/>
              <w:spacing w:line="240" w:lineRule="auto" w:after="40"/>
              <w:jc w:val="center"/>
            </w:pPr>
            <w:r>
              <w:rPr>
                <w:bCs/>
                <w:b/>
                <w:sz w:val="19"/>
              </w:rPr>
              <w:t xml:space="preserve">0.174</w:t>
            </w:r>
          </w:p>
        </w:tc>
        <w:tc>
          <w:tcPr>
            <w:tcW w:type="dxa" w:w="695"/>
          </w:tcPr>
          <w:p>
            <w:pPr>
              <w:pStyle w:val="Compact"/>
              <w:spacing w:line="240" w:lineRule="auto" w:after="40"/>
              <w:jc w:val="center"/>
            </w:pPr>
            <w:r>
              <w:rPr>
                <w:bCs/>
                <w:b/>
                <w:sz w:val="19"/>
              </w:rPr>
              <w:t xml:space="preserve">0.115</w:t>
            </w:r>
          </w:p>
        </w:tc>
        <w:tc>
          <w:tcPr>
            <w:tcW w:type="dxa" w:w="695"/>
          </w:tcPr>
          <w:p>
            <w:pPr>
              <w:pStyle w:val="Compact"/>
              <w:spacing w:line="240" w:lineRule="auto" w:after="40"/>
              <w:jc w:val="center"/>
            </w:pPr>
            <w:r>
              <w:rPr>
                <w:sz w:val="19"/>
              </w:rPr>
              <w:t xml:space="preserve">0.336</w:t>
            </w:r>
          </w:p>
        </w:tc>
        <w:tc>
          <w:tcPr>
            <w:tcW w:type="dxa" w:w="695"/>
          </w:tcPr>
          <w:p>
            <w:pPr>
              <w:pStyle w:val="Compact"/>
              <w:spacing w:line="240" w:lineRule="auto" w:after="40"/>
              <w:jc w:val="center"/>
            </w:pPr>
            <w:r>
              <w:rPr>
                <w:sz w:val="19"/>
              </w:rPr>
              <w:t xml:space="preserve">0.257</w:t>
            </w:r>
          </w:p>
        </w:tc>
        <w:tc>
          <w:tcPr>
            <w:tcW w:type="dxa" w:w="2431"/>
          </w:tcPr>
          <w:p>
            <w:pPr>
              <w:pStyle w:val="Compact"/>
              <w:spacing w:line="240" w:lineRule="auto" w:after="40"/>
              <w:jc w:val="center"/>
            </w:pPr>
            <w:r>
              <w:rPr>
                <w:bCs/>
                <w:b/>
                <w:sz w:val="19"/>
              </w:rPr>
              <w:t xml:space="preserve">38%</w:t>
            </w:r>
          </w:p>
        </w:tc>
      </w:tr>
      <w:tr>
        <w:tc>
          <w:tcPr>
            <w:tcW w:type="dxa" w:w="3820"/>
          </w:tcPr>
          <w:p>
            <w:pPr>
              <w:pStyle w:val="Compact"/>
              <w:spacing w:line="240" w:lineRule="auto" w:after="40"/>
              <w:jc w:val="left"/>
            </w:pPr>
            <w:r>
              <w:rPr>
                <w:sz w:val="19"/>
              </w:rPr>
              <w:t xml:space="preserve">Ensemble vote (uncalibrated)</w:t>
            </w:r>
          </w:p>
        </w:tc>
        <w:tc>
          <w:tcPr>
            <w:tcW w:type="dxa" w:w="695"/>
          </w:tcPr>
          <w:p>
            <w:pPr>
              <w:pStyle w:val="Compact"/>
              <w:spacing w:line="240" w:lineRule="auto" w:after="40"/>
              <w:jc w:val="center"/>
            </w:pPr>
            <w:r>
              <w:rPr>
                <w:sz w:val="19"/>
              </w:rPr>
              <w:t xml:space="preserve">0.543</w:t>
            </w:r>
          </w:p>
        </w:tc>
        <w:tc>
          <w:tcPr>
            <w:tcW w:type="dxa" w:w="695"/>
          </w:tcPr>
          <w:p>
            <w:pPr>
              <w:pStyle w:val="Compact"/>
              <w:spacing w:line="240" w:lineRule="auto" w:after="40"/>
              <w:jc w:val="center"/>
            </w:pPr>
            <w:r>
              <w:rPr>
                <w:sz w:val="19"/>
              </w:rPr>
              <w:t xml:space="preserve">0.583</w:t>
            </w:r>
          </w:p>
        </w:tc>
        <w:tc>
          <w:tcPr>
            <w:tcW w:type="dxa" w:w="695"/>
          </w:tcPr>
          <w:p>
            <w:pPr>
              <w:pStyle w:val="Compact"/>
              <w:spacing w:line="240" w:lineRule="auto" w:after="40"/>
              <w:jc w:val="center"/>
            </w:pPr>
            <w:r>
              <w:rPr>
                <w:sz w:val="19"/>
              </w:rPr>
              <w:t xml:space="preserve">0.291</w:t>
            </w:r>
          </w:p>
        </w:tc>
        <w:tc>
          <w:tcPr>
            <w:tcW w:type="dxa" w:w="695"/>
          </w:tcPr>
          <w:p>
            <w:pPr>
              <w:pStyle w:val="Compact"/>
              <w:spacing w:line="240" w:lineRule="auto" w:after="40"/>
              <w:jc w:val="center"/>
            </w:pPr>
            <w:r>
              <w:rPr>
                <w:sz w:val="19"/>
              </w:rPr>
              <w:t xml:space="preserve">0.253</w:t>
            </w:r>
          </w:p>
        </w:tc>
        <w:tc>
          <w:tcPr>
            <w:tcW w:type="dxa" w:w="2431"/>
          </w:tcPr>
          <w:p>
            <w:pPr>
              <w:pStyle w:val="Compact"/>
              <w:spacing w:line="240" w:lineRule="auto" w:after="40"/>
              <w:jc w:val="center"/>
            </w:pPr>
            <w:r>
              <w:rPr>
                <w:sz w:val="19"/>
              </w:rPr>
              <w:t xml:space="preserve">26%</w:t>
            </w:r>
          </w:p>
        </w:tc>
      </w:tr>
      <w:tr>
        <w:tc>
          <w:tcPr>
            <w:tcW w:type="dxa" w:w="3820"/>
          </w:tcPr>
          <w:p>
            <w:pPr>
              <w:pStyle w:val="Compact"/>
              <w:spacing w:line="240" w:lineRule="auto" w:after="40"/>
              <w:jc w:val="left"/>
            </w:pPr>
            <w:r>
              <w:rPr>
                <w:sz w:val="19"/>
              </w:rPr>
              <w:t xml:space="preserve">Ensemble spread as log-normal (uncalibrated)</w:t>
            </w:r>
          </w:p>
        </w:tc>
        <w:tc>
          <w:tcPr>
            <w:tcW w:type="dxa" w:w="695"/>
          </w:tcPr>
          <w:p>
            <w:pPr>
              <w:pStyle w:val="Compact"/>
              <w:spacing w:line="240" w:lineRule="auto" w:after="40"/>
              <w:jc w:val="center"/>
            </w:pPr>
            <w:r>
              <w:rPr>
                <w:sz w:val="19"/>
              </w:rPr>
              <w:t xml:space="preserve">0.526</w:t>
            </w:r>
          </w:p>
        </w:tc>
        <w:tc>
          <w:tcPr>
            <w:tcW w:type="dxa" w:w="695"/>
          </w:tcPr>
          <w:p>
            <w:pPr>
              <w:pStyle w:val="Compact"/>
              <w:spacing w:line="240" w:lineRule="auto" w:after="40"/>
              <w:jc w:val="center"/>
            </w:pPr>
            <w:r>
              <w:rPr>
                <w:sz w:val="19"/>
              </w:rPr>
              <w:t xml:space="preserve">0.561</w:t>
            </w:r>
          </w:p>
        </w:tc>
        <w:tc>
          <w:tcPr>
            <w:tcW w:type="dxa" w:w="695"/>
          </w:tcPr>
          <w:p>
            <w:pPr>
              <w:pStyle w:val="Compact"/>
              <w:spacing w:line="240" w:lineRule="auto" w:after="40"/>
              <w:jc w:val="center"/>
            </w:pPr>
            <w:r>
              <w:rPr>
                <w:sz w:val="19"/>
              </w:rPr>
              <w:t xml:space="preserve">0.295</w:t>
            </w:r>
          </w:p>
        </w:tc>
        <w:tc>
          <w:tcPr>
            <w:tcW w:type="dxa" w:w="695"/>
          </w:tcPr>
          <w:p>
            <w:pPr>
              <w:pStyle w:val="Compact"/>
              <w:spacing w:line="240" w:lineRule="auto" w:after="40"/>
              <w:jc w:val="center"/>
            </w:pPr>
            <w:r>
              <w:rPr>
                <w:sz w:val="19"/>
              </w:rPr>
              <w:t xml:space="preserve">0.275</w:t>
            </w:r>
          </w:p>
        </w:tc>
        <w:tc>
          <w:tcPr>
            <w:tcW w:type="dxa" w:w="2431"/>
          </w:tcPr>
          <w:p>
            <w:pPr>
              <w:pStyle w:val="Compact"/>
              <w:spacing w:line="240" w:lineRule="auto" w:after="40"/>
              <w:jc w:val="center"/>
            </w:pPr>
            <w:r>
              <w:rPr>
                <w:sz w:val="19"/>
              </w:rPr>
              <w:t xml:space="preserve">27%</w:t>
            </w:r>
          </w:p>
        </w:tc>
      </w:tr>
      <w:tr>
        <w:tc>
          <w:tcPr>
            <w:tcW w:type="dxa" w:w="3820"/>
          </w:tcPr>
          <w:p>
            <w:pPr>
              <w:pStyle w:val="Compact"/>
              <w:spacing w:line="240" w:lineRule="auto" w:after="40"/>
              <w:jc w:val="left"/>
            </w:pPr>
            <w:r>
              <w:rPr>
                <w:sz w:val="19"/>
              </w:rPr>
              <w:t xml:space="preserve">Point estimate only (0/1)</w:t>
            </w:r>
          </w:p>
        </w:tc>
        <w:tc>
          <w:tcPr>
            <w:tcW w:type="dxa" w:w="695"/>
          </w:tcPr>
          <w:p>
            <w:pPr>
              <w:pStyle w:val="Compact"/>
              <w:spacing w:line="240" w:lineRule="auto" w:after="40"/>
              <w:jc w:val="center"/>
            </w:pPr>
            <w:r>
              <w:rPr>
                <w:sz w:val="19"/>
              </w:rPr>
              <w:t xml:space="preserve">0.635</w:t>
            </w:r>
          </w:p>
        </w:tc>
        <w:tc>
          <w:tcPr>
            <w:tcW w:type="dxa" w:w="695"/>
          </w:tcPr>
          <w:p>
            <w:pPr>
              <w:pStyle w:val="Compact"/>
              <w:spacing w:line="240" w:lineRule="auto" w:after="40"/>
              <w:jc w:val="center"/>
            </w:pPr>
            <w:r>
              <w:rPr>
                <w:sz w:val="19"/>
              </w:rPr>
              <w:t xml:space="preserve">0.635</w:t>
            </w:r>
          </w:p>
        </w:tc>
        <w:tc>
          <w:tcPr>
            <w:tcW w:type="dxa" w:w="695"/>
          </w:tcPr>
          <w:p>
            <w:pPr>
              <w:pStyle w:val="Compact"/>
              <w:spacing w:line="240" w:lineRule="auto" w:after="40"/>
              <w:jc w:val="center"/>
            </w:pPr>
            <w:r>
              <w:rPr>
                <w:sz w:val="19"/>
              </w:rPr>
              <w:t xml:space="preserve">0.324</w:t>
            </w:r>
          </w:p>
        </w:tc>
        <w:tc>
          <w:tcPr>
            <w:tcW w:type="dxa" w:w="695"/>
          </w:tcPr>
          <w:p>
            <w:pPr>
              <w:pStyle w:val="Compact"/>
              <w:spacing w:line="240" w:lineRule="auto" w:after="40"/>
              <w:jc w:val="center"/>
            </w:pPr>
            <w:r>
              <w:rPr>
                <w:sz w:val="19"/>
              </w:rPr>
              <w:t xml:space="preserve">0.324</w:t>
            </w:r>
          </w:p>
        </w:tc>
        <w:tc>
          <w:tcPr>
            <w:tcW w:type="dxa" w:w="2431"/>
          </w:tcPr>
          <w:p>
            <w:pPr>
              <w:pStyle w:val="Compact"/>
              <w:spacing w:line="240" w:lineRule="auto" w:after="40"/>
              <w:jc w:val="center"/>
            </w:pPr>
            <w:r>
              <w:rPr>
                <w:sz w:val="19"/>
              </w:rPr>
              <w:t xml:space="preserve">27%</w:t>
            </w:r>
          </w:p>
        </w:tc>
      </w:tr>
    </w:tbl>
    <w:p>
      <w:pPr>
        <w:pStyle w:val="BodyText"/>
      </w:pPr>
      <w:r>
        <w:rPr>
          <w:bCs/>
          <w:b/>
        </w:rPr>
        <w:t xml:space="preserve">H5 is partly supported.</w:t>
      </w:r>
      <w:r>
        <w:t xml:space="preserve"> </w:t>
      </w:r>
      <w:r>
        <w:t xml:space="preserve">Calibration clearly helped the probability that a nodule is at least 100 mm</w:t>
      </w:r>
      <m:oMath>
        <m:sSup>
          <m:e>
            <m:r>
              <m:t>​</m:t>
            </m:r>
          </m:e>
          <m:sup>
            <m:r>
              <m:t>3</m:t>
            </m:r>
          </m:sup>
        </m:sSup>
      </m:oMath>
      <w:r>
        <w:t xml:space="preserve">: the Brier score fell from 0.543 (raw vote) to 0.174 and the ECE from 0.583 to 0.115 (Tables 5.4 and 4.14), and the most likely category was right for 38% of nodules instead of 26%. For the 300 mm</w:t>
      </w:r>
      <m:oMath>
        <m:sSup>
          <m:e>
            <m:r>
              <m:t>​</m:t>
            </m:r>
          </m:e>
          <m:sup>
            <m:r>
              <m:t>3</m:t>
            </m:r>
          </m:sup>
        </m:sSup>
      </m:oMath>
      <w:r>
        <w:t xml:space="preserve"> </w:t>
      </w:r>
      <w:r>
        <w:t xml:space="preserve">threshold calibration made almost no difference (0.284 vs 0.291). The category sets from the 90% intervals contained the true category for 99% of nodules but held 2.91 of the 3 categories on average, again valid but uninformative. Mondrian calibration raised the worst size-group coverage for mass from 89% to 96% but not for volume (82% to 79%; Figure 4.15), so size-conditional coverage was achieved for mass only.</w:t>
      </w:r>
    </w:p>
    <w:p>
      <w:pPr>
        <w:pStyle w:val="BodyText"/>
        <w:jc w:val="center"/>
      </w:pPr>
      <w:r>
        <w:drawing>
          <wp:inline>
            <wp:extent cx="4791739" cy="3870251"/>
            <wp:effectExtent b="0" l="0" r="0" t="0"/>
            <wp:docPr descr="image" title="" id="150" name="Picture"/>
            <a:graphic>
              <a:graphicData uri="http://schemas.openxmlformats.org/drawingml/2006/picture">
                <pic:pic>
                  <pic:nvPicPr>
                    <pic:cNvPr descr="/home/user/medlift3d/report/figures/results/volume_coverage_levels.png" id="151" name="Picture"/>
                    <pic:cNvPicPr>
                      <a:picLocks noChangeArrowheads="1" noChangeAspect="1"/>
                    </pic:cNvPicPr>
                  </pic:nvPicPr>
                  <pic:blipFill>
                    <a:blip r:embed="rId149"/>
                    <a:stretch>
                      <a:fillRect/>
                    </a:stretch>
                  </pic:blipFill>
                  <pic:spPr bwMode="auto">
                    <a:xfrm>
                      <a:off x="0" y="0"/>
                      <a:ext cx="4791739" cy="3870251"/>
                    </a:xfrm>
                    <a:prstGeom prst="rect">
                      <a:avLst/>
                    </a:prstGeom>
                    <a:noFill/>
                    <a:ln w="9525">
                      <a:noFill/>
                      <a:headEnd/>
                      <a:tailEnd/>
                    </a:ln>
                  </pic:spPr>
                </pic:pic>
              </a:graphicData>
            </a:graphic>
          </wp:inline>
        </w:drawing>
      </w:r>
    </w:p>
    <w:p>
      <w:pPr>
        <w:pStyle w:val="BodyText"/>
        <w:jc w:val="center"/>
      </w:pPr>
      <w:r>
        <w:rPr>
          <w:bCs/>
          <w:b/>
          <w:iCs/>
          <w:i/>
          <w:sz w:val="20"/>
        </w:rPr>
        <w:t xml:space="preserve">Figure 4.13:</w:t>
      </w:r>
      <w:r>
        <w:rPr>
          <w:iCs/>
          <w:i/>
          <w:sz w:val="20"/>
        </w:rPr>
        <w:t xml:space="preserve"> </w:t>
      </w:r>
      <w:r>
        <w:rPr>
          <w:iCs/>
          <w:i/>
          <w:sz w:val="20"/>
        </w:rPr>
        <w:t xml:space="preserve">Observed coverage at every nominal level for the volume intervals (test nodules): conformal intervals lie on or above the diagonal, the raw ensemble spread far below it.</w:t>
      </w:r>
    </w:p>
    <w:p>
      <w:pPr>
        <w:pStyle w:val="BodyText"/>
        <w:jc w:val="center"/>
      </w:pPr>
      <w:r>
        <w:drawing>
          <wp:inline>
            <wp:extent cx="5334000" cy="2346960"/>
            <wp:effectExtent b="0" l="0" r="0" t="0"/>
            <wp:docPr descr="image" title="" id="153" name="Picture"/>
            <a:graphic>
              <a:graphicData uri="http://schemas.openxmlformats.org/drawingml/2006/picture">
                <pic:pic>
                  <pic:nvPicPr>
                    <pic:cNvPr descr="/home/user/medlift3d/report/figures/results/reliability.png" id="154" name="Picture"/>
                    <pic:cNvPicPr>
                      <a:picLocks noChangeArrowheads="1" noChangeAspect="1"/>
                    </pic:cNvPicPr>
                  </pic:nvPicPr>
                  <pic:blipFill>
                    <a:blip r:embed="rId152"/>
                    <a:stretch>
                      <a:fillRect/>
                    </a:stretch>
                  </pic:blipFill>
                  <pic:spPr bwMode="auto">
                    <a:xfrm>
                      <a:off x="0" y="0"/>
                      <a:ext cx="5334000" cy="2346960"/>
                    </a:xfrm>
                    <a:prstGeom prst="rect">
                      <a:avLst/>
                    </a:prstGeom>
                    <a:noFill/>
                    <a:ln w="9525">
                      <a:noFill/>
                      <a:headEnd/>
                      <a:tailEnd/>
                    </a:ln>
                  </pic:spPr>
                </pic:pic>
              </a:graphicData>
            </a:graphic>
          </wp:inline>
        </w:drawing>
      </w:r>
    </w:p>
    <w:p>
      <w:pPr>
        <w:pStyle w:val="BodyText"/>
        <w:jc w:val="center"/>
      </w:pPr>
      <w:r>
        <w:rPr>
          <w:bCs/>
          <w:b/>
          <w:iCs/>
          <w:i/>
          <w:sz w:val="20"/>
        </w:rPr>
        <w:t xml:space="preserve">Figure 4.14:</w:t>
      </w:r>
      <w:r>
        <w:rPr>
          <w:iCs/>
          <w:i/>
          <w:sz w:val="20"/>
        </w:rPr>
        <w:t xml:space="preserve"> </w:t>
      </w:r>
      <w:r>
        <w:rPr>
          <w:iCs/>
          <w:i/>
          <w:sz w:val="20"/>
        </w:rPr>
        <w:t xml:space="preserve">Reliability diagrams of the EUPS category probabilities for</w:t>
      </w:r>
      <w:r>
        <w:rPr>
          <w:iCs/>
          <w:i/>
          <w:sz w:val="20"/>
        </w:rPr>
        <w:t xml:space="preserve"> </w:t>
      </w:r>
      <m:oMath>
        <m:r>
          <m:t>P</m:t>
        </m:r>
        <m:d>
          <m:dPr>
            <m:begChr m:val="("/>
            <m:endChr m:val=")"/>
            <m:sepChr m:val=""/>
            <m:grow/>
          </m:dPr>
          <m:e>
            <m:r>
              <m:t>V</m:t>
            </m:r>
            <m:r>
              <m:rPr>
                <m:sty m:val="p"/>
              </m:rPr>
              <m:t>≥</m:t>
            </m:r>
            <m:r>
              <m:t>100</m:t>
            </m:r>
          </m:e>
        </m:d>
      </m:oMath>
      <w:r>
        <w:rPr>
          <w:iCs/>
          <w:i/>
          <w:sz w:val="20"/>
        </w:rPr>
        <w:t xml:space="preserve"> </w:t>
      </w:r>
      <w:r>
        <w:rPr>
          <w:iCs/>
          <w:i/>
          <w:sz w:val="20"/>
        </w:rPr>
        <w:t xml:space="preserve">and</w:t>
      </w:r>
      <w:r>
        <w:rPr>
          <w:iCs/>
          <w:i/>
          <w:sz w:val="20"/>
        </w:rPr>
        <w:t xml:space="preserve"> </w:t>
      </w:r>
      <m:oMath>
        <m:r>
          <m:t>P</m:t>
        </m:r>
        <m:d>
          <m:dPr>
            <m:begChr m:val="("/>
            <m:endChr m:val=")"/>
            <m:sepChr m:val=""/>
            <m:grow/>
          </m:dPr>
          <m:e>
            <m:r>
              <m:t>V</m:t>
            </m:r>
            <m:r>
              <m:rPr>
                <m:sty m:val="p"/>
              </m:rPr>
              <m:t>≥</m:t>
            </m:r>
            <m:r>
              <m:t>300</m:t>
            </m:r>
          </m:e>
        </m:d>
      </m:oMath>
      <w:r>
        <w:rPr>
          <w:iCs/>
          <w:i/>
          <w:sz w:val="20"/>
        </w:rPr>
        <w:t xml:space="preserve"> </w:t>
      </w:r>
      <w:r>
        <w:rPr>
          <w:iCs/>
          <w:i/>
          <w:sz w:val="20"/>
        </w:rPr>
        <w:t xml:space="preserve">(test nodules).</w:t>
      </w:r>
    </w:p>
    <w:p>
      <w:pPr>
        <w:pStyle w:val="BodyText"/>
        <w:jc w:val="center"/>
      </w:pPr>
      <w:r>
        <w:drawing>
          <wp:inline>
            <wp:extent cx="5334000" cy="2909454"/>
            <wp:effectExtent b="0" l="0" r="0" t="0"/>
            <wp:docPr descr="image" title="" id="156" name="Picture"/>
            <a:graphic>
              <a:graphicData uri="http://schemas.openxmlformats.org/drawingml/2006/picture">
                <pic:pic>
                  <pic:nvPicPr>
                    <pic:cNvPr descr="/home/user/medlift3d/report/figures/results/group_coverage.png" id="157" name="Picture"/>
                    <pic:cNvPicPr>
                      <a:picLocks noChangeArrowheads="1" noChangeAspect="1"/>
                    </pic:cNvPicPr>
                  </pic:nvPicPr>
                  <pic:blipFill>
                    <a:blip r:embed="rId155"/>
                    <a:stretch>
                      <a:fillRect/>
                    </a:stretch>
                  </pic:blipFill>
                  <pic:spPr bwMode="auto">
                    <a:xfrm>
                      <a:off x="0" y="0"/>
                      <a:ext cx="5334000" cy="2909454"/>
                    </a:xfrm>
                    <a:prstGeom prst="rect">
                      <a:avLst/>
                    </a:prstGeom>
                    <a:noFill/>
                    <a:ln w="9525">
                      <a:noFill/>
                      <a:headEnd/>
                      <a:tailEnd/>
                    </a:ln>
                  </pic:spPr>
                </pic:pic>
              </a:graphicData>
            </a:graphic>
          </wp:inline>
        </w:drawing>
      </w:r>
    </w:p>
    <w:p>
      <w:pPr>
        <w:pStyle w:val="BodyText"/>
        <w:jc w:val="center"/>
      </w:pPr>
      <w:r>
        <w:rPr>
          <w:bCs/>
          <w:b/>
          <w:iCs/>
          <w:i/>
          <w:sz w:val="20"/>
        </w:rPr>
        <w:t xml:space="preserve">Figure 4.15:</w:t>
      </w:r>
      <w:r>
        <w:rPr>
          <w:iCs/>
          <w:i/>
          <w:sz w:val="20"/>
        </w:rPr>
        <w:t xml:space="preserve"> </w:t>
      </w:r>
      <w:r>
        <w:rPr>
          <w:iCs/>
          <w:i/>
          <w:sz w:val="20"/>
        </w:rPr>
        <w:t xml:space="preserve">Coverage of the volume intervals in three size groups, with and without Mondrian calibration.</w:t>
      </w:r>
    </w:p>
    <w:bookmarkEnd w:id="158"/>
    <w:bookmarkStart w:id="162" w:name="growth-h4"/>
    <w:p>
      <w:pPr>
        <w:pStyle w:val="Heading3"/>
      </w:pPr>
      <w:r>
        <w:t xml:space="preserve">4.3.5 Growth (H4)</w:t>
      </w:r>
    </w:p>
    <w:p>
      <w:pPr>
        <w:pStyle w:val="FirstParagraph"/>
      </w:pPr>
      <w:r>
        <w:t xml:space="preserve">For the growth experiment each nodule was enlarged inside the CT by a known factor, corresponding to a known true doubling time, and a follow-up DTS acquisition was simulated with fresh noise; 40 growth pairs were evaluated. VDT and MDT were computed from the volume and mass ratios and assigned to the NELSON categories (</w:t>
      </w:r>
      <m:oMath>
        <m:r>
          <m:rPr>
            <m:sty m:val="p"/>
          </m:rPr>
          <m:t>&lt;</m:t>
        </m:r>
        <m:r>
          <m:t>400</m:t>
        </m:r>
      </m:oMath>
      <w:r>
        <w:t xml:space="preserve">, 400–600 and</w:t>
      </w:r>
      <w:r>
        <w:t xml:space="preserve"> </w:t>
      </w:r>
      <m:oMath>
        <m:r>
          <m:rPr>
            <m:sty m:val="p"/>
          </m:rPr>
          <m:t>&gt;</m:t>
        </m:r>
        <m:r>
          <m:t>600</m:t>
        </m:r>
      </m:oMath>
      <w:r>
        <w:t xml:space="preserve"> </w:t>
      </w:r>
      <w:r>
        <w:t xml:space="preserve">days).</w:t>
      </w:r>
    </w:p>
    <w:p>
      <w:pPr>
        <w:pStyle w:val="BodyText"/>
        <w:jc w:val="center"/>
      </w:pPr>
      <w:r>
        <w:rPr>
          <w:bCs/>
          <w:b/>
          <w:iCs/>
          <w:i/>
          <w:sz w:val="20"/>
        </w:rPr>
        <w:t xml:space="preserve">Table 4.9:</w:t>
      </w:r>
      <w:r>
        <w:rPr>
          <w:iCs/>
          <w:i/>
          <w:sz w:val="20"/>
        </w:rPr>
        <w:t xml:space="preserve"> </w:t>
      </w:r>
      <w:r>
        <w:rPr>
          <w:iCs/>
          <w:i/>
          <w:sz w:val="20"/>
        </w:rPr>
        <w:t xml:space="preserve">Doubling-time results on 40 virtual growth pairs (step 11).</w:t>
      </w:r>
    </w:p>
    <w:tbl>
      <w:tblPr>
        <w:tblStyle w:val="Table"/>
        <w:tblW w:type="auto" w:w="0"/>
        <w:tblLook w:firstRow="1" w:lastRow="0" w:firstColumn="0" w:lastColumn="0" w:noHBand="0" w:noVBand="0" w:val="0020"/>
        <w:jc w:val="start"/>
        <w:tblBorders>
          <w:top w:val="single" w:sz="12" w:color="000000"/>
          <w:bottom w:val="single" w:sz="12" w:color="000000"/>
          <w:insideH w:val="single" w:sz="6" w:color="808080"/>
        </w:tblBorders>
      </w:tblPr>
      <w:tblGrid>
        <w:gridCol w:w="2128"/>
        <w:gridCol w:w="972"/>
        <w:gridCol w:w="1292"/>
        <w:gridCol w:w="1292"/>
        <w:gridCol w:w="2128"/>
        <w:gridCol w:w="1216"/>
      </w:tblGrid>
      <w:tr>
        <w:trPr>
          <w:tblHeader w:val="true"/>
        </w:trPr>
        <w:tc>
          <w:tcPr>
            <w:tcW w:type="dxa" w:w="2128"/>
          </w:tcPr>
          <w:p>
            <w:pPr>
              <w:pStyle w:val="Compact"/>
              <w:spacing w:line="240" w:lineRule="auto" w:after="40"/>
              <w:jc w:val="left"/>
            </w:pPr>
            <w:r>
              <w:rPr>
                <w:b/>
                <w:sz w:val="19"/>
              </w:rPr>
              <w:t xml:space="preserve">Method</w:t>
            </w:r>
          </w:p>
        </w:tc>
        <w:tc>
          <w:tcPr>
            <w:tcW w:type="dxa" w:w="973"/>
          </w:tcPr>
          <w:p>
            <w:pPr>
              <w:pStyle w:val="Compact"/>
              <w:spacing w:line="240" w:lineRule="auto" w:after="40"/>
              <w:jc w:val="left"/>
            </w:pPr>
            <w:r>
              <w:rPr>
                <w:b/>
                <w:sz w:val="19"/>
              </w:rPr>
              <w:t xml:space="preserve">Quantity</w:t>
            </w:r>
          </w:p>
        </w:tc>
        <w:tc>
          <w:tcPr>
            <w:tcW w:type="dxa" w:w="1292"/>
          </w:tcPr>
          <w:p>
            <w:pPr>
              <w:pStyle w:val="Compact"/>
              <w:spacing w:line="240" w:lineRule="auto" w:after="40"/>
              <w:jc w:val="center"/>
            </w:pPr>
            <w:r>
              <w:rPr>
                <w:b/>
                <w:sz w:val="19"/>
              </w:rPr>
              <w:t xml:space="preserve">Category accuracy</w:t>
            </w:r>
          </w:p>
        </w:tc>
        <w:tc>
          <w:tcPr>
            <w:tcW w:type="dxa" w:w="1292"/>
          </w:tcPr>
          <w:p>
            <w:pPr>
              <w:pStyle w:val="Compact"/>
              <w:spacing w:line="240" w:lineRule="auto" w:after="40"/>
              <w:jc w:val="center"/>
            </w:pPr>
            <w:r>
              <w:rPr>
                <w:b/>
                <w:sz w:val="19"/>
              </w:rPr>
              <w:t xml:space="preserve">Median</w:t>
            </w:r>
            <w:r>
              <w:rPr>
                <w:b/>
                <w:sz w:val="19"/>
              </w:rPr>
              <w:t xml:space="preserve"> </w:t>
            </w:r>
            <m:oMath>
              <m:d>
                <m:dPr>
                  <m:begChr m:val="|"/>
                  <m:endChr m:val="|"/>
                  <m:sepChr m:val=""/>
                  <m:grow/>
                </m:dPr>
                <m:e>
                  <m:sSub>
                    <m:e>
                      <m:r>
                        <m:rPr>
                          <m:sty m:val="p"/>
                        </m:rPr>
                        <m:t>log</m:t>
                      </m:r>
                    </m:e>
                    <m:sub>
                      <m:r>
                        <m:t>2</m:t>
                      </m:r>
                    </m:sub>
                  </m:sSub>
                  <m:d>
                    <m:dPr>
                      <m:begChr m:val="("/>
                      <m:endChr m:val=")"/>
                      <m:sepChr m:val=""/>
                      <m:grow/>
                    </m:dPr>
                    <m:e>
                      <m:sSub>
                        <m:e>
                          <m:r>
                            <m:rPr>
                              <m:sty m:val="p"/>
                            </m:rPr>
                            <m:t>D</m:t>
                          </m:r>
                          <m:r>
                            <m:rPr>
                              <m:sty m:val="p"/>
                            </m:rPr>
                            <m:t>T</m:t>
                          </m:r>
                        </m:e>
                        <m:sub>
                          <m:r>
                            <m:rPr>
                              <m:sty m:val="p"/>
                            </m:rPr>
                            <m:t>e</m:t>
                          </m:r>
                          <m:r>
                            <m:rPr>
                              <m:sty m:val="p"/>
                            </m:rPr>
                            <m:t>s</m:t>
                          </m:r>
                          <m:r>
                            <m:rPr>
                              <m:sty m:val="p"/>
                            </m:rPr>
                            <m:t>t</m:t>
                          </m:r>
                        </m:sub>
                      </m:sSub>
                      <m:r>
                        <m:rPr>
                          <m:sty m:val="p"/>
                        </m:rPr>
                        <m:t>/</m:t>
                      </m:r>
                      <m:sSub>
                        <m:e>
                          <m:r>
                            <m:rPr>
                              <m:sty m:val="p"/>
                            </m:rPr>
                            <m:t>D</m:t>
                          </m:r>
                          <m:r>
                            <m:rPr>
                              <m:sty m:val="p"/>
                            </m:rPr>
                            <m:t>T</m:t>
                          </m:r>
                        </m:e>
                        <m:sub>
                          <m:r>
                            <m:rPr>
                              <m:sty m:val="p"/>
                            </m:rPr>
                            <m:t>t</m:t>
                          </m:r>
                          <m:r>
                            <m:rPr>
                              <m:sty m:val="p"/>
                            </m:rPr>
                            <m:t>r</m:t>
                          </m:r>
                          <m:r>
                            <m:rPr>
                              <m:sty m:val="p"/>
                            </m:rPr>
                            <m:t>u</m:t>
                          </m:r>
                          <m:r>
                            <m:rPr>
                              <m:sty m:val="p"/>
                            </m:rPr>
                            <m:t>e</m:t>
                          </m:r>
                        </m:sub>
                      </m:sSub>
                    </m:e>
                  </m:d>
                </m:e>
              </m:d>
            </m:oMath>
            <w:r>
              <w:rPr>
                <w:b/>
                <w:sz w:val="19"/>
              </w:rPr>
              <w:t xml:space="preserve"> </w:t>
            </w:r>
            <w:r>
              <w:rPr>
                <w:b/>
                <w:sz w:val="19"/>
              </w:rPr>
              <w:t xml:space="preserve">(growing)</w:t>
            </w:r>
          </w:p>
        </w:tc>
        <w:tc>
          <w:tcPr>
            <w:tcW w:type="dxa" w:w="2128"/>
          </w:tcPr>
          <w:p>
            <w:pPr>
              <w:pStyle w:val="Compact"/>
              <w:spacing w:line="240" w:lineRule="auto" w:after="40"/>
              <w:jc w:val="center"/>
            </w:pPr>
            <w:r>
              <w:rPr>
                <w:b/>
                <w:sz w:val="19"/>
              </w:rPr>
              <w:t xml:space="preserve">False growth alarms (stable)</w:t>
            </w:r>
          </w:p>
        </w:tc>
        <w:tc>
          <w:tcPr>
            <w:tcW w:type="dxa" w:w="1216"/>
          </w:tcPr>
          <w:p>
            <w:pPr>
              <w:pStyle w:val="Compact"/>
              <w:spacing w:line="240" w:lineRule="auto" w:after="40"/>
              <w:jc w:val="center"/>
            </w:pPr>
            <w:r>
              <w:rPr>
                <w:b/>
                <w:sz w:val="19"/>
              </w:rPr>
              <w:t xml:space="preserve">Not measurable</w:t>
            </w:r>
          </w:p>
        </w:tc>
      </w:tr>
      <w:tr>
        <w:tc>
          <w:tcPr>
            <w:tcW w:type="dxa" w:w="2128"/>
          </w:tcPr>
          <w:p>
            <w:pPr>
              <w:pStyle w:val="Compact"/>
              <w:spacing w:line="240" w:lineRule="auto" w:after="40"/>
              <w:jc w:val="left"/>
            </w:pPr>
            <w:r>
              <w:rPr>
                <w:sz w:val="19"/>
              </w:rPr>
              <w:t xml:space="preserve">Coarse SIRT</w:t>
            </w:r>
          </w:p>
        </w:tc>
        <w:tc>
          <w:tcPr>
            <w:tcW w:type="dxa" w:w="973"/>
          </w:tcPr>
          <w:p>
            <w:pPr>
              <w:pStyle w:val="Compact"/>
              <w:spacing w:line="240" w:lineRule="auto" w:after="40"/>
              <w:jc w:val="left"/>
            </w:pPr>
            <w:r>
              <w:rPr>
                <w:sz w:val="19"/>
              </w:rPr>
              <w:t xml:space="preserve">VDT / MDT</w:t>
            </w:r>
          </w:p>
        </w:tc>
        <w:tc>
          <w:tcPr>
            <w:tcW w:type="dxa" w:w="1292"/>
          </w:tcPr>
          <w:p>
            <w:pPr>
              <w:pStyle w:val="Compact"/>
              <w:spacing w:line="240" w:lineRule="auto" w:after="40"/>
              <w:jc w:val="center"/>
            </w:pPr>
            <w:r>
              <w:rPr>
                <w:sz w:val="19"/>
              </w:rPr>
              <w:t xml:space="preserve">35% / 32%</w:t>
            </w:r>
          </w:p>
        </w:tc>
        <w:tc>
          <w:tcPr>
            <w:tcW w:type="dxa" w:w="1292"/>
          </w:tcPr>
          <w:p>
            <w:pPr>
              <w:pStyle w:val="Compact"/>
              <w:spacing w:line="240" w:lineRule="auto" w:after="40"/>
              <w:jc w:val="center"/>
            </w:pPr>
            <w:r>
              <w:rPr>
                <w:sz w:val="19"/>
              </w:rPr>
              <w:t xml:space="preserve">2.14 / 0.88</w:t>
            </w:r>
          </w:p>
        </w:tc>
        <w:tc>
          <w:tcPr>
            <w:tcW w:type="dxa" w:w="2128"/>
          </w:tcPr>
          <w:p>
            <w:pPr>
              <w:pStyle w:val="Compact"/>
              <w:spacing w:line="240" w:lineRule="auto" w:after="40"/>
              <w:jc w:val="center"/>
            </w:pPr>
            <w:r>
              <w:rPr>
                <w:sz w:val="19"/>
              </w:rPr>
              <w:t xml:space="preserve">0% / 0%</w:t>
            </w:r>
          </w:p>
        </w:tc>
        <w:tc>
          <w:tcPr>
            <w:tcW w:type="dxa" w:w="1216"/>
          </w:tcPr>
          <w:p>
            <w:pPr>
              <w:pStyle w:val="Compact"/>
              <w:spacing w:line="240" w:lineRule="auto" w:after="40"/>
              <w:jc w:val="center"/>
            </w:pPr>
            <w:r>
              <w:rPr>
                <w:sz w:val="19"/>
              </w:rPr>
              <w:t xml:space="preserve">35% / 35%</w:t>
            </w:r>
          </w:p>
        </w:tc>
      </w:tr>
      <w:tr>
        <w:tc>
          <w:tcPr>
            <w:tcW w:type="dxa" w:w="2128"/>
          </w:tcPr>
          <w:p>
            <w:pPr>
              <w:pStyle w:val="Compact"/>
              <w:spacing w:line="240" w:lineRule="auto" w:after="40"/>
              <w:jc w:val="left"/>
            </w:pPr>
            <w:r>
              <w:rPr>
                <w:sz w:val="19"/>
              </w:rPr>
              <w:t xml:space="preserve">Prism ROI-SIRT</w:t>
            </w:r>
          </w:p>
        </w:tc>
        <w:tc>
          <w:tcPr>
            <w:tcW w:type="dxa" w:w="973"/>
          </w:tcPr>
          <w:p>
            <w:pPr>
              <w:pStyle w:val="Compact"/>
              <w:spacing w:line="240" w:lineRule="auto" w:after="40"/>
              <w:jc w:val="left"/>
            </w:pPr>
            <w:r>
              <w:rPr>
                <w:sz w:val="19"/>
              </w:rPr>
              <w:t xml:space="preserve">VDT / MDT</w:t>
            </w:r>
          </w:p>
        </w:tc>
        <w:tc>
          <w:tcPr>
            <w:tcW w:type="dxa" w:w="1292"/>
          </w:tcPr>
          <w:p>
            <w:pPr>
              <w:pStyle w:val="Compact"/>
              <w:spacing w:line="240" w:lineRule="auto" w:after="40"/>
              <w:jc w:val="center"/>
            </w:pPr>
            <w:r>
              <w:rPr>
                <w:sz w:val="19"/>
              </w:rPr>
              <w:t xml:space="preserve">48% /</w:t>
            </w:r>
            <w:r>
              <w:rPr>
                <w:sz w:val="19"/>
              </w:rPr>
              <w:t xml:space="preserve"> </w:t>
            </w:r>
            <w:r>
              <w:rPr>
                <w:bCs/>
                <w:b/>
                <w:sz w:val="19"/>
              </w:rPr>
              <w:t xml:space="preserve">50%</w:t>
            </w:r>
          </w:p>
        </w:tc>
        <w:tc>
          <w:tcPr>
            <w:tcW w:type="dxa" w:w="1292"/>
          </w:tcPr>
          <w:p>
            <w:pPr>
              <w:pStyle w:val="Compact"/>
              <w:spacing w:line="240" w:lineRule="auto" w:after="40"/>
              <w:jc w:val="center"/>
            </w:pPr>
            <w:r>
              <w:rPr>
                <w:sz w:val="19"/>
              </w:rPr>
              <w:t xml:space="preserve">0.82 /</w:t>
            </w:r>
            <w:r>
              <w:rPr>
                <w:sz w:val="19"/>
              </w:rPr>
              <w:t xml:space="preserve"> </w:t>
            </w:r>
            <w:r>
              <w:rPr>
                <w:bCs/>
                <w:b/>
                <w:sz w:val="19"/>
              </w:rPr>
              <w:t xml:space="preserve">0.77</w:t>
            </w:r>
          </w:p>
        </w:tc>
        <w:tc>
          <w:tcPr>
            <w:tcW w:type="dxa" w:w="2128"/>
          </w:tcPr>
          <w:p>
            <w:pPr>
              <w:pStyle w:val="Compact"/>
              <w:spacing w:line="240" w:lineRule="auto" w:after="40"/>
              <w:jc w:val="center"/>
            </w:pPr>
            <w:r>
              <w:rPr>
                <w:sz w:val="19"/>
              </w:rPr>
              <w:t xml:space="preserve">10% /</w:t>
            </w:r>
            <w:r>
              <w:rPr>
                <w:sz w:val="19"/>
              </w:rPr>
              <w:t xml:space="preserve"> </w:t>
            </w:r>
            <w:r>
              <w:rPr>
                <w:bCs/>
                <w:b/>
                <w:sz w:val="19"/>
              </w:rPr>
              <w:t xml:space="preserve">0%</w:t>
            </w:r>
          </w:p>
        </w:tc>
        <w:tc>
          <w:tcPr>
            <w:tcW w:type="dxa" w:w="1216"/>
          </w:tcPr>
          <w:p>
            <w:pPr>
              <w:pStyle w:val="Compact"/>
              <w:spacing w:line="240" w:lineRule="auto" w:after="40"/>
              <w:jc w:val="center"/>
            </w:pPr>
            <w:r>
              <w:rPr>
                <w:sz w:val="19"/>
              </w:rPr>
              <w:t xml:space="preserve">18% / 18%</w:t>
            </w:r>
          </w:p>
        </w:tc>
      </w:tr>
      <w:tr>
        <w:tc>
          <w:tcPr>
            <w:tcW w:type="dxa" w:w="2128"/>
          </w:tcPr>
          <w:p>
            <w:pPr>
              <w:pStyle w:val="Compact"/>
              <w:spacing w:line="240" w:lineRule="auto" w:after="40"/>
              <w:jc w:val="left"/>
            </w:pPr>
            <w:r>
              <w:rPr>
                <w:sz w:val="19"/>
              </w:rPr>
              <w:t xml:space="preserve">Physics-only Gaussians</w:t>
            </w:r>
          </w:p>
        </w:tc>
        <w:tc>
          <w:tcPr>
            <w:tcW w:type="dxa" w:w="973"/>
          </w:tcPr>
          <w:p>
            <w:pPr>
              <w:pStyle w:val="Compact"/>
              <w:spacing w:line="240" w:lineRule="auto" w:after="40"/>
              <w:jc w:val="left"/>
            </w:pPr>
            <w:r>
              <w:rPr>
                <w:sz w:val="19"/>
              </w:rPr>
              <w:t xml:space="preserve">VDT / MDT</w:t>
            </w:r>
          </w:p>
        </w:tc>
        <w:tc>
          <w:tcPr>
            <w:tcW w:type="dxa" w:w="1292"/>
          </w:tcPr>
          <w:p>
            <w:pPr>
              <w:pStyle w:val="Compact"/>
              <w:spacing w:line="240" w:lineRule="auto" w:after="40"/>
              <w:jc w:val="center"/>
            </w:pPr>
            <w:r>
              <w:rPr>
                <w:sz w:val="19"/>
              </w:rPr>
              <w:t xml:space="preserve">42% / 40%</w:t>
            </w:r>
          </w:p>
        </w:tc>
        <w:tc>
          <w:tcPr>
            <w:tcW w:type="dxa" w:w="1292"/>
          </w:tcPr>
          <w:p>
            <w:pPr>
              <w:pStyle w:val="Compact"/>
              <w:spacing w:line="240" w:lineRule="auto" w:after="40"/>
              <w:jc w:val="center"/>
            </w:pPr>
            <w:r>
              <w:rPr>
                <w:sz w:val="19"/>
              </w:rPr>
              <w:t xml:space="preserve">1.13 / 1.29</w:t>
            </w:r>
          </w:p>
        </w:tc>
        <w:tc>
          <w:tcPr>
            <w:tcW w:type="dxa" w:w="2128"/>
          </w:tcPr>
          <w:p>
            <w:pPr>
              <w:pStyle w:val="Compact"/>
              <w:spacing w:line="240" w:lineRule="auto" w:after="40"/>
              <w:jc w:val="center"/>
            </w:pPr>
            <w:r>
              <w:rPr>
                <w:sz w:val="19"/>
              </w:rPr>
              <w:t xml:space="preserve">20% / 20%</w:t>
            </w:r>
          </w:p>
        </w:tc>
        <w:tc>
          <w:tcPr>
            <w:tcW w:type="dxa" w:w="1216"/>
          </w:tcPr>
          <w:p>
            <w:pPr>
              <w:pStyle w:val="Compact"/>
              <w:spacing w:line="240" w:lineRule="auto" w:after="40"/>
              <w:jc w:val="center"/>
            </w:pPr>
            <w:r>
              <w:rPr>
                <w:sz w:val="19"/>
              </w:rPr>
              <w:t xml:space="preserve">10% / 10%</w:t>
            </w:r>
          </w:p>
        </w:tc>
      </w:tr>
      <w:tr>
        <w:tc>
          <w:tcPr>
            <w:tcW w:type="dxa" w:w="2128"/>
          </w:tcPr>
          <w:p>
            <w:pPr>
              <w:pStyle w:val="Compact"/>
              <w:spacing w:line="240" w:lineRule="auto" w:after="40"/>
              <w:jc w:val="left"/>
            </w:pPr>
            <w:r>
              <w:rPr>
                <w:sz w:val="19"/>
              </w:rPr>
              <w:t xml:space="preserve">Diffusion only</w:t>
            </w:r>
          </w:p>
        </w:tc>
        <w:tc>
          <w:tcPr>
            <w:tcW w:type="dxa" w:w="973"/>
          </w:tcPr>
          <w:p>
            <w:pPr>
              <w:pStyle w:val="Compact"/>
              <w:spacing w:line="240" w:lineRule="auto" w:after="40"/>
              <w:jc w:val="left"/>
            </w:pPr>
            <w:r>
              <w:rPr>
                <w:sz w:val="19"/>
              </w:rPr>
              <w:t xml:space="preserve">VDT / MDT</w:t>
            </w:r>
          </w:p>
        </w:tc>
        <w:tc>
          <w:tcPr>
            <w:tcW w:type="dxa" w:w="1292"/>
          </w:tcPr>
          <w:p>
            <w:pPr>
              <w:pStyle w:val="Compact"/>
              <w:spacing w:line="240" w:lineRule="auto" w:after="40"/>
              <w:jc w:val="center"/>
            </w:pPr>
            <w:r>
              <w:rPr>
                <w:sz w:val="19"/>
              </w:rPr>
              <w:t xml:space="preserve">48% / 28%</w:t>
            </w:r>
          </w:p>
        </w:tc>
        <w:tc>
          <w:tcPr>
            <w:tcW w:type="dxa" w:w="1292"/>
          </w:tcPr>
          <w:p>
            <w:pPr>
              <w:pStyle w:val="Compact"/>
              <w:spacing w:line="240" w:lineRule="auto" w:after="40"/>
              <w:jc w:val="center"/>
            </w:pPr>
            <w:r>
              <w:rPr>
                <w:sz w:val="19"/>
              </w:rPr>
              <w:t xml:space="preserve">0.91 / 0.96</w:t>
            </w:r>
          </w:p>
        </w:tc>
        <w:tc>
          <w:tcPr>
            <w:tcW w:type="dxa" w:w="2128"/>
          </w:tcPr>
          <w:p>
            <w:pPr>
              <w:pStyle w:val="Compact"/>
              <w:spacing w:line="240" w:lineRule="auto" w:after="40"/>
              <w:jc w:val="center"/>
            </w:pPr>
            <w:r>
              <w:rPr>
                <w:sz w:val="19"/>
              </w:rPr>
              <w:t xml:space="preserve">30% / 30%</w:t>
            </w:r>
          </w:p>
        </w:tc>
        <w:tc>
          <w:tcPr>
            <w:tcW w:type="dxa" w:w="1216"/>
          </w:tcPr>
          <w:p>
            <w:pPr>
              <w:pStyle w:val="Compact"/>
              <w:spacing w:line="240" w:lineRule="auto" w:after="40"/>
              <w:jc w:val="center"/>
            </w:pPr>
            <w:r>
              <w:rPr>
                <w:sz w:val="19"/>
              </w:rPr>
              <w:t xml:space="preserve">5% / 48%</w:t>
            </w:r>
          </w:p>
        </w:tc>
      </w:tr>
      <w:tr>
        <w:tc>
          <w:tcPr>
            <w:tcW w:type="dxa" w:w="2128"/>
          </w:tcPr>
          <w:p>
            <w:pPr>
              <w:pStyle w:val="Compact"/>
              <w:spacing w:line="240" w:lineRule="auto" w:after="40"/>
              <w:jc w:val="left"/>
            </w:pPr>
            <w:r>
              <w:rPr>
                <w:sz w:val="19"/>
              </w:rPr>
              <w:t xml:space="preserve">Diffusion + Gaussians (ours)</w:t>
            </w:r>
          </w:p>
        </w:tc>
        <w:tc>
          <w:tcPr>
            <w:tcW w:type="dxa" w:w="973"/>
          </w:tcPr>
          <w:p>
            <w:pPr>
              <w:pStyle w:val="Compact"/>
              <w:spacing w:line="240" w:lineRule="auto" w:after="40"/>
              <w:jc w:val="left"/>
            </w:pPr>
            <w:r>
              <w:rPr>
                <w:sz w:val="19"/>
              </w:rPr>
              <w:t xml:space="preserve">VDT / MDT</w:t>
            </w:r>
          </w:p>
        </w:tc>
        <w:tc>
          <w:tcPr>
            <w:tcW w:type="dxa" w:w="1292"/>
          </w:tcPr>
          <w:p>
            <w:pPr>
              <w:pStyle w:val="Compact"/>
              <w:spacing w:line="240" w:lineRule="auto" w:after="40"/>
              <w:jc w:val="center"/>
            </w:pPr>
            <w:r>
              <w:rPr>
                <w:sz w:val="19"/>
              </w:rPr>
              <w:t xml:space="preserve">30% / 30%</w:t>
            </w:r>
          </w:p>
        </w:tc>
        <w:tc>
          <w:tcPr>
            <w:tcW w:type="dxa" w:w="1292"/>
          </w:tcPr>
          <w:p>
            <w:pPr>
              <w:pStyle w:val="Compact"/>
              <w:spacing w:line="240" w:lineRule="auto" w:after="40"/>
              <w:jc w:val="center"/>
            </w:pPr>
            <w:r>
              <w:rPr>
                <w:sz w:val="19"/>
              </w:rPr>
              <w:t xml:space="preserve">1.23 / 1.11</w:t>
            </w:r>
          </w:p>
        </w:tc>
        <w:tc>
          <w:tcPr>
            <w:tcW w:type="dxa" w:w="2128"/>
          </w:tcPr>
          <w:p>
            <w:pPr>
              <w:pStyle w:val="Compact"/>
              <w:spacing w:line="240" w:lineRule="auto" w:after="40"/>
              <w:jc w:val="center"/>
            </w:pPr>
            <w:r>
              <w:rPr>
                <w:sz w:val="19"/>
              </w:rPr>
              <w:t xml:space="preserve">10% / 20%</w:t>
            </w:r>
          </w:p>
        </w:tc>
        <w:tc>
          <w:tcPr>
            <w:tcW w:type="dxa" w:w="1216"/>
          </w:tcPr>
          <w:p>
            <w:pPr>
              <w:pStyle w:val="Compact"/>
              <w:spacing w:line="240" w:lineRule="auto" w:after="40"/>
              <w:jc w:val="center"/>
            </w:pPr>
            <w:r>
              <w:rPr>
                <w:sz w:val="19"/>
              </w:rPr>
              <w:t xml:space="preserve">40% / 40%</w:t>
            </w:r>
          </w:p>
        </w:tc>
      </w:tr>
    </w:tbl>
    <w:p>
      <w:pPr>
        <w:pStyle w:val="BodyText"/>
      </w:pPr>
      <w:r>
        <w:rPr>
          <w:bCs/>
          <w:b/>
        </w:rPr>
        <w:t xml:space="preserve">H4 is not supported for our method</w:t>
      </w:r>
      <w:r>
        <w:t xml:space="preserve"> </w:t>
      </w:r>
      <w:r>
        <w:t xml:space="preserve">(MDT and VDT both 30% category accuracy, with 40% of pairs not measurable). For the physics-only prism reconstruction, MDT was slightly better than VDT (50% vs 48% accuracy, doubling-time error 0.77 vs 0.82 in</w:t>
      </w:r>
      <w:r>
        <w:t xml:space="preserve"> </w:t>
      </w:r>
      <m:oMath>
        <m:sSub>
          <m:e>
            <m:r>
              <m:rPr>
                <m:sty m:val="p"/>
              </m:rPr>
              <m:t>log</m:t>
            </m:r>
          </m:e>
          <m:sub>
            <m:r>
              <m:t>2</m:t>
            </m:r>
          </m:sub>
        </m:sSub>
      </m:oMath>
      <w:r>
        <w:t xml:space="preserve"> </w:t>
      </w:r>
      <w:r>
        <w:t xml:space="preserve">units, no false growth alarms), and for the coarse SIRT the MDT error was much smaller than the VDT error (0.88 vs 2.14), in line with the mass-first argument; but these differences are small for 40 pairs. One verification check of this step failed: the mass added by the virtual growth deviated from its intended value by up to 7.5% (limit 3%), because the mass window also contains nearby vessels; the growth results are therefore indicative only. Figure 4.16 shows estimated against true doubling times.</w:t>
      </w:r>
    </w:p>
    <w:p>
      <w:pPr>
        <w:pStyle w:val="BodyText"/>
        <w:jc w:val="center"/>
      </w:pPr>
      <w:r>
        <w:drawing>
          <wp:inline>
            <wp:extent cx="4073236" cy="3873730"/>
            <wp:effectExtent b="0" l="0" r="0" t="0"/>
            <wp:docPr descr="image" title="" id="160" name="Picture"/>
            <a:graphic>
              <a:graphicData uri="http://schemas.openxmlformats.org/drawingml/2006/picture">
                <pic:pic>
                  <pic:nvPicPr>
                    <pic:cNvPr descr="/home/user/medlift3d/report/figures/results/doubling_time.png" id="161" name="Picture"/>
                    <pic:cNvPicPr>
                      <a:picLocks noChangeArrowheads="1" noChangeAspect="1"/>
                    </pic:cNvPicPr>
                  </pic:nvPicPr>
                  <pic:blipFill>
                    <a:blip r:embed="rId159"/>
                    <a:stretch>
                      <a:fillRect/>
                    </a:stretch>
                  </pic:blipFill>
                  <pic:spPr bwMode="auto">
                    <a:xfrm>
                      <a:off x="0" y="0"/>
                      <a:ext cx="4073236" cy="3873730"/>
                    </a:xfrm>
                    <a:prstGeom prst="rect">
                      <a:avLst/>
                    </a:prstGeom>
                    <a:noFill/>
                    <a:ln w="9525">
                      <a:noFill/>
                      <a:headEnd/>
                      <a:tailEnd/>
                    </a:ln>
                  </pic:spPr>
                </pic:pic>
              </a:graphicData>
            </a:graphic>
          </wp:inline>
        </w:drawing>
      </w:r>
    </w:p>
    <w:p>
      <w:pPr>
        <w:pStyle w:val="BodyText"/>
        <w:jc w:val="center"/>
      </w:pPr>
      <w:r>
        <w:rPr>
          <w:bCs/>
          <w:b/>
          <w:iCs/>
          <w:i/>
          <w:sz w:val="20"/>
        </w:rPr>
        <w:t xml:space="preserve">Figure 4.16:</w:t>
      </w:r>
      <w:r>
        <w:rPr>
          <w:iCs/>
          <w:i/>
          <w:sz w:val="20"/>
        </w:rPr>
        <w:t xml:space="preserve"> </w:t>
      </w:r>
      <w:r>
        <w:rPr>
          <w:iCs/>
          <w:i/>
          <w:sz w:val="20"/>
        </w:rPr>
        <w:t xml:space="preserve">Estimated vs true doubling time for diffusion with Gaussians (VDT and MDT).</w:t>
      </w:r>
    </w:p>
    <w:bookmarkEnd w:id="162"/>
    <w:bookmarkStart w:id="169" w:name="explainability-h6"/>
    <w:p>
      <w:pPr>
        <w:pStyle w:val="Heading3"/>
      </w:pPr>
      <w:r>
        <w:t xml:space="preserve">4.3.6 Explainability (H6)</w:t>
      </w:r>
    </w:p>
    <w:p>
      <w:pPr>
        <w:pStyle w:val="FirstParagraph"/>
        <w:jc w:val="center"/>
      </w:pPr>
      <w:r>
        <w:rPr>
          <w:bCs/>
          <w:b/>
          <w:iCs/>
          <w:i/>
          <w:sz w:val="20"/>
        </w:rPr>
        <w:t xml:space="preserve">Table 4.10:</w:t>
      </w:r>
      <w:r>
        <w:rPr>
          <w:iCs/>
          <w:i/>
          <w:sz w:val="20"/>
        </w:rPr>
        <w:t xml:space="preserve"> </w:t>
      </w:r>
      <w:r>
        <w:rPr>
          <w:iCs/>
          <w:i/>
          <w:sz w:val="20"/>
        </w:rPr>
        <w:t xml:space="preserve">Seen/unseen analysis inside the nodule box, median [IQR] over 30 test nodules (step 17). Unseen skill: 1 = the invisible part matches the truth, 0 = no better than leaving it out,</w:t>
      </w:r>
      <w:r>
        <w:rPr>
          <w:iCs/>
          <w:i/>
          <w:sz w:val="20"/>
        </w:rPr>
        <w:t xml:space="preserve"> </w:t>
      </w:r>
      <m:oMath>
        <m:r>
          <m:rPr>
            <m:sty m:val="p"/>
          </m:rPr>
          <m:t>&lt;</m:t>
        </m:r>
        <m:r>
          <m:t>0</m:t>
        </m:r>
      </m:oMath>
      <w:r>
        <w:rPr>
          <w:iCs/>
          <w:i/>
          <w:sz w:val="20"/>
        </w:rPr>
        <w:t xml:space="preserve"> </w:t>
      </w:r>
      <w:r>
        <w:rPr>
          <w:iCs/>
          <w:i/>
          <w:sz w:val="20"/>
        </w:rPr>
        <w:t xml:space="preserve">= invented structure.</w:t>
      </w:r>
    </w:p>
    <w:tbl>
      <w:tblPr>
        <w:tblStyle w:val="Table"/>
        <w:tblW w:type="auto" w:w="0"/>
        <w:tblLook w:firstRow="1" w:lastRow="0" w:firstColumn="0" w:lastColumn="0" w:noHBand="0" w:noVBand="0" w:val="0020"/>
        <w:jc w:val="start"/>
        <w:tblBorders>
          <w:top w:val="single" w:sz="12" w:color="000000"/>
          <w:bottom w:val="single" w:sz="12" w:color="000000"/>
          <w:insideH w:val="single" w:sz="6" w:color="808080"/>
        </w:tblBorders>
      </w:tblPr>
      <w:tblGrid>
        <w:gridCol w:w="2142"/>
        <w:gridCol w:w="1989"/>
        <w:gridCol w:w="1836"/>
        <w:gridCol w:w="1606"/>
        <w:gridCol w:w="1453"/>
      </w:tblGrid>
      <w:tr>
        <w:trPr>
          <w:tblHeader w:val="true"/>
        </w:trPr>
        <w:tc>
          <w:tcPr>
            <w:tcW w:type="dxa" w:w="2142"/>
          </w:tcPr>
          <w:p>
            <w:pPr>
              <w:pStyle w:val="Compact"/>
              <w:spacing w:line="240" w:lineRule="auto" w:after="40"/>
              <w:jc w:val="left"/>
            </w:pPr>
            <w:r>
              <w:rPr>
                <w:b/>
                <w:sz w:val="19"/>
              </w:rPr>
              <w:t xml:space="preserve">Volume</w:t>
            </w:r>
          </w:p>
        </w:tc>
        <w:tc>
          <w:tcPr>
            <w:tcW w:type="dxa" w:w="1989"/>
          </w:tcPr>
          <w:p>
            <w:pPr>
              <w:pStyle w:val="Compact"/>
              <w:spacing w:line="240" w:lineRule="auto" w:after="40"/>
              <w:jc w:val="center"/>
            </w:pPr>
            <w:r>
              <w:rPr>
                <w:b/>
                <w:sz w:val="19"/>
              </w:rPr>
              <w:t xml:space="preserve">Unseen share of box signal</w:t>
            </w:r>
          </w:p>
        </w:tc>
        <w:tc>
          <w:tcPr>
            <w:tcW w:type="dxa" w:w="1836"/>
          </w:tcPr>
          <w:p>
            <w:pPr>
              <w:pStyle w:val="Compact"/>
              <w:spacing w:line="240" w:lineRule="auto" w:after="40"/>
              <w:jc w:val="center"/>
            </w:pPr>
            <w:r>
              <w:rPr>
                <w:b/>
                <w:sz w:val="19"/>
              </w:rPr>
              <w:t xml:space="preserve">Unseen share of box mass</w:t>
            </w:r>
          </w:p>
        </w:tc>
        <w:tc>
          <w:tcPr>
            <w:tcW w:type="dxa" w:w="1607"/>
          </w:tcPr>
          <w:p>
            <w:pPr>
              <w:pStyle w:val="Compact"/>
              <w:spacing w:line="240" w:lineRule="auto" w:after="40"/>
              <w:jc w:val="center"/>
            </w:pPr>
            <w:r>
              <w:rPr>
                <w:b/>
                <w:sz w:val="19"/>
              </w:rPr>
              <w:t xml:space="preserve">Unseen skill vs truth</w:t>
            </w:r>
          </w:p>
        </w:tc>
        <w:tc>
          <w:tcPr>
            <w:tcW w:type="dxa" w:w="1454"/>
          </w:tcPr>
          <w:p>
            <w:pPr>
              <w:pStyle w:val="Compact"/>
              <w:spacing w:line="240" w:lineRule="auto" w:after="40"/>
              <w:jc w:val="center"/>
            </w:pPr>
            <w:r>
              <w:rPr>
                <w:b/>
                <w:sz w:val="19"/>
              </w:rPr>
              <w:t xml:space="preserve">Seen skill vs truth</w:t>
            </w:r>
          </w:p>
        </w:tc>
      </w:tr>
      <w:tr>
        <w:tc>
          <w:tcPr>
            <w:tcW w:type="dxa" w:w="2142"/>
          </w:tcPr>
          <w:p>
            <w:pPr>
              <w:pStyle w:val="Compact"/>
              <w:spacing w:line="240" w:lineRule="auto" w:after="40"/>
              <w:jc w:val="left"/>
            </w:pPr>
            <w:r>
              <w:rPr>
                <w:sz w:val="19"/>
              </w:rPr>
              <w:t xml:space="preserve">CT truth</w:t>
            </w:r>
          </w:p>
        </w:tc>
        <w:tc>
          <w:tcPr>
            <w:tcW w:type="dxa" w:w="1989"/>
          </w:tcPr>
          <w:p>
            <w:pPr>
              <w:pStyle w:val="Compact"/>
              <w:spacing w:line="240" w:lineRule="auto" w:after="40"/>
              <w:jc w:val="center"/>
            </w:pPr>
            <w:r>
              <w:rPr>
                <w:sz w:val="19"/>
              </w:rPr>
              <w:t xml:space="preserve">0.15 [0.09, 0.27]</w:t>
            </w:r>
          </w:p>
        </w:tc>
        <w:tc>
          <w:tcPr>
            <w:tcW w:type="dxa" w:w="1836"/>
          </w:tcPr>
          <w:p>
            <w:pPr>
              <w:pStyle w:val="Compact"/>
              <w:spacing w:line="240" w:lineRule="auto" w:after="40"/>
              <w:jc w:val="center"/>
            </w:pPr>
            <w:r>
              <w:rPr>
                <w:sz w:val="19"/>
              </w:rPr>
              <w:t xml:space="preserve">0.00 [0.00, 0.00]</w:t>
            </w:r>
          </w:p>
        </w:tc>
        <w:tc>
          <w:tcPr>
            <w:tcW w:type="dxa" w:w="1607"/>
          </w:tcPr>
          <w:p>
            <w:pPr>
              <w:pStyle w:val="Compact"/>
              <w:spacing w:line="240" w:lineRule="auto" w:after="40"/>
              <w:jc w:val="center"/>
            </w:pPr>
            <w:r>
              <w:rPr>
                <w:sz w:val="19"/>
              </w:rPr>
              <w:t xml:space="preserve">–</w:t>
            </w:r>
          </w:p>
        </w:tc>
        <w:tc>
          <w:tcPr>
            <w:tcW w:type="dxa" w:w="1454"/>
          </w:tcPr>
          <w:p>
            <w:pPr>
              <w:pStyle w:val="Compact"/>
              <w:spacing w:line="240" w:lineRule="auto" w:after="40"/>
              <w:jc w:val="center"/>
            </w:pPr>
            <w:r>
              <w:rPr>
                <w:sz w:val="19"/>
              </w:rPr>
              <w:t xml:space="preserve">–</w:t>
            </w:r>
          </w:p>
        </w:tc>
      </w:tr>
      <w:tr>
        <w:tc>
          <w:tcPr>
            <w:tcW w:type="dxa" w:w="2142"/>
          </w:tcPr>
          <w:p>
            <w:pPr>
              <w:pStyle w:val="Compact"/>
              <w:spacing w:line="240" w:lineRule="auto" w:after="40"/>
              <w:jc w:val="left"/>
            </w:pPr>
            <w:r>
              <w:rPr>
                <w:sz w:val="19"/>
              </w:rPr>
              <w:t xml:space="preserve">Prism ROI-SIRT (physics)</w:t>
            </w:r>
          </w:p>
        </w:tc>
        <w:tc>
          <w:tcPr>
            <w:tcW w:type="dxa" w:w="1989"/>
          </w:tcPr>
          <w:p>
            <w:pPr>
              <w:pStyle w:val="Compact"/>
              <w:spacing w:line="240" w:lineRule="auto" w:after="40"/>
              <w:jc w:val="center"/>
            </w:pPr>
            <w:r>
              <w:rPr>
                <w:sz w:val="19"/>
              </w:rPr>
              <w:t xml:space="preserve">0.00 [0.00, 0.00]</w:t>
            </w:r>
          </w:p>
        </w:tc>
        <w:tc>
          <w:tcPr>
            <w:tcW w:type="dxa" w:w="1836"/>
          </w:tcPr>
          <w:p>
            <w:pPr>
              <w:pStyle w:val="Compact"/>
              <w:spacing w:line="240" w:lineRule="auto" w:after="40"/>
              <w:jc w:val="center"/>
            </w:pPr>
            <w:r>
              <w:rPr>
                <w:sz w:val="19"/>
              </w:rPr>
              <w:t xml:space="preserve">0.00 [0.00, 0.00]</w:t>
            </w:r>
          </w:p>
        </w:tc>
        <w:tc>
          <w:tcPr>
            <w:tcW w:type="dxa" w:w="1607"/>
          </w:tcPr>
          <w:p>
            <w:pPr>
              <w:pStyle w:val="Compact"/>
              <w:spacing w:line="240" w:lineRule="auto" w:after="40"/>
              <w:jc w:val="center"/>
            </w:pPr>
            <w:r>
              <w:rPr>
                <w:sz w:val="19"/>
              </w:rPr>
              <w:t xml:space="preserve">0.00 [0.00, 0.01]</w:t>
            </w:r>
          </w:p>
        </w:tc>
        <w:tc>
          <w:tcPr>
            <w:tcW w:type="dxa" w:w="1454"/>
          </w:tcPr>
          <w:p>
            <w:pPr>
              <w:pStyle w:val="Compact"/>
              <w:spacing w:line="240" w:lineRule="auto" w:after="40"/>
              <w:jc w:val="center"/>
            </w:pPr>
            <w:r>
              <w:rPr>
                <w:sz w:val="19"/>
              </w:rPr>
              <w:t xml:space="preserve">0.39 [0.19, 0.56]</w:t>
            </w:r>
          </w:p>
        </w:tc>
      </w:tr>
      <w:tr>
        <w:tc>
          <w:tcPr>
            <w:tcW w:type="dxa" w:w="2142"/>
          </w:tcPr>
          <w:p>
            <w:pPr>
              <w:pStyle w:val="Compact"/>
              <w:spacing w:line="240" w:lineRule="auto" w:after="40"/>
              <w:jc w:val="left"/>
            </w:pPr>
            <w:r>
              <w:rPr>
                <w:sz w:val="19"/>
              </w:rPr>
              <w:t xml:space="preserve">Diffusion (mean of samples)</w:t>
            </w:r>
          </w:p>
        </w:tc>
        <w:tc>
          <w:tcPr>
            <w:tcW w:type="dxa" w:w="1989"/>
          </w:tcPr>
          <w:p>
            <w:pPr>
              <w:pStyle w:val="Compact"/>
              <w:spacing w:line="240" w:lineRule="auto" w:after="40"/>
              <w:jc w:val="center"/>
            </w:pPr>
            <w:r>
              <w:rPr>
                <w:sz w:val="19"/>
              </w:rPr>
              <w:t xml:space="preserve">0.09 [0.05, 0.15]</w:t>
            </w:r>
          </w:p>
        </w:tc>
        <w:tc>
          <w:tcPr>
            <w:tcW w:type="dxa" w:w="1836"/>
          </w:tcPr>
          <w:p>
            <w:pPr>
              <w:pStyle w:val="Compact"/>
              <w:spacing w:line="240" w:lineRule="auto" w:after="40"/>
              <w:jc w:val="center"/>
            </w:pPr>
            <w:r>
              <w:rPr>
                <w:sz w:val="19"/>
              </w:rPr>
              <w:t xml:space="preserve">0.00 [0.00, 0.00]</w:t>
            </w:r>
          </w:p>
        </w:tc>
        <w:tc>
          <w:tcPr>
            <w:tcW w:type="dxa" w:w="1607"/>
          </w:tcPr>
          <w:p>
            <w:pPr>
              <w:pStyle w:val="Compact"/>
              <w:spacing w:line="240" w:lineRule="auto" w:after="40"/>
              <w:jc w:val="center"/>
            </w:pPr>
            <w:r>
              <w:rPr>
                <w:bCs/>
                <w:b/>
                <w:sz w:val="19"/>
              </w:rPr>
              <w:t xml:space="preserve">0.22 [0.14, 0.36]</w:t>
            </w:r>
          </w:p>
        </w:tc>
        <w:tc>
          <w:tcPr>
            <w:tcW w:type="dxa" w:w="1454"/>
          </w:tcPr>
          <w:p>
            <w:pPr>
              <w:pStyle w:val="Compact"/>
              <w:spacing w:line="240" w:lineRule="auto" w:after="40"/>
              <w:jc w:val="center"/>
            </w:pPr>
            <w:r>
              <w:rPr>
                <w:bCs/>
                <w:b/>
                <w:sz w:val="19"/>
              </w:rPr>
              <w:t xml:space="preserve">0.88 [0.75, 0.93]</w:t>
            </w:r>
          </w:p>
        </w:tc>
      </w:tr>
      <w:tr>
        <w:tc>
          <w:tcPr>
            <w:tcW w:type="dxa" w:w="2142"/>
          </w:tcPr>
          <w:p>
            <w:pPr>
              <w:pStyle w:val="Compact"/>
              <w:spacing w:line="240" w:lineRule="auto" w:after="40"/>
              <w:jc w:val="left"/>
            </w:pPr>
            <w:r>
              <w:rPr>
                <w:sz w:val="19"/>
              </w:rPr>
              <w:t xml:space="preserve">Diffusion + Gaussians (ours)</w:t>
            </w:r>
          </w:p>
        </w:tc>
        <w:tc>
          <w:tcPr>
            <w:tcW w:type="dxa" w:w="1989"/>
          </w:tcPr>
          <w:p>
            <w:pPr>
              <w:pStyle w:val="Compact"/>
              <w:spacing w:line="240" w:lineRule="auto" w:after="40"/>
              <w:jc w:val="center"/>
            </w:pPr>
            <w:r>
              <w:rPr>
                <w:sz w:val="19"/>
              </w:rPr>
              <w:t xml:space="preserve">0.04 [0.02, 0.07]</w:t>
            </w:r>
          </w:p>
        </w:tc>
        <w:tc>
          <w:tcPr>
            <w:tcW w:type="dxa" w:w="1836"/>
          </w:tcPr>
          <w:p>
            <w:pPr>
              <w:pStyle w:val="Compact"/>
              <w:spacing w:line="240" w:lineRule="auto" w:after="40"/>
              <w:jc w:val="center"/>
            </w:pPr>
            <w:r>
              <w:rPr>
                <w:sz w:val="19"/>
              </w:rPr>
              <w:t xml:space="preserve">0.00 [0.00, 0.00]</w:t>
            </w:r>
          </w:p>
        </w:tc>
        <w:tc>
          <w:tcPr>
            <w:tcW w:type="dxa" w:w="1607"/>
          </w:tcPr>
          <w:p>
            <w:pPr>
              <w:pStyle w:val="Compact"/>
              <w:spacing w:line="240" w:lineRule="auto" w:after="40"/>
              <w:jc w:val="center"/>
            </w:pPr>
            <w:r>
              <w:rPr>
                <w:sz w:val="19"/>
              </w:rPr>
              <w:t xml:space="preserve">0.09 [0.03, 0.19]</w:t>
            </w:r>
          </w:p>
        </w:tc>
        <w:tc>
          <w:tcPr>
            <w:tcW w:type="dxa" w:w="1454"/>
          </w:tcPr>
          <w:p>
            <w:pPr>
              <w:pStyle w:val="Compact"/>
              <w:spacing w:line="240" w:lineRule="auto" w:after="40"/>
              <w:jc w:val="center"/>
            </w:pPr>
            <w:r>
              <w:rPr>
                <w:sz w:val="19"/>
              </w:rPr>
              <w:t xml:space="preserve">0.59 [0.39, 0.74]</w:t>
            </w:r>
          </w:p>
        </w:tc>
      </w:tr>
    </w:tbl>
    <w:p>
      <w:pPr>
        <w:pStyle w:val="BodyText"/>
      </w:pPr>
      <w:r>
        <w:t xml:space="preserve">The split itself is accurate (median</w:t>
      </w:r>
      <w:r>
        <w:t xml:space="preserve"> </w:t>
      </w:r>
      <m:oMath>
        <m:d>
          <m:dPr>
            <m:begChr m:val="|"/>
            <m:endChr m:val="|"/>
            <m:sepChr m:val=""/>
            <m:grow/>
          </m:dPr>
          <m:e>
            <m:r>
              <m:t>A</m:t>
            </m:r>
            <m:sSub>
              <m:e>
                <m:r>
                  <m:rPr>
                    <m:sty m:val="b"/>
                  </m:rPr>
                  <m:t>x</m:t>
                </m:r>
              </m:e>
              <m:sub>
                <m:r>
                  <m:rPr>
                    <m:nor/>
                    <m:sty m:val="p"/>
                  </m:rPr>
                  <m:t>unseen</m:t>
                </m:r>
              </m:sub>
            </m:sSub>
          </m:e>
        </m:d>
        <m:r>
          <m:rPr>
            <m:sty m:val="p"/>
          </m:rPr>
          <m:t>/</m:t>
        </m:r>
        <m:d>
          <m:dPr>
            <m:begChr m:val="|"/>
            <m:endChr m:val="|"/>
            <m:sepChr m:val=""/>
            <m:grow/>
          </m:dPr>
          <m:e>
            <m:r>
              <m:t>A</m:t>
            </m:r>
            <m:r>
              <m:rPr>
                <m:sty m:val="b"/>
              </m:rPr>
              <m:t>x</m:t>
            </m:r>
          </m:e>
        </m:d>
        <m:r>
          <m:rPr>
            <m:sty m:val="p"/>
          </m:rPr>
          <m:t>=</m:t>
        </m:r>
        <m:r>
          <m:t>0.002</m:t>
        </m:r>
      </m:oMath>
      <w:r>
        <w:t xml:space="preserve">).</w:t>
      </w:r>
      <w:r>
        <w:t xml:space="preserve"> </w:t>
      </w:r>
      <w:r>
        <w:rPr>
          <w:bCs/>
          <w:b/>
        </w:rPr>
        <w:t xml:space="preserve">The analysis confirms the physics behind H1</w:t>
      </w:r>
      <w:r>
        <w:t xml:space="preserve">: only 0.3% of the true nodule’s mass lies in the unseen part, while 15% of the nodule-box signal (its shape in depth) is invisible to the 15 views.</w:t>
      </w:r>
      <w:r>
        <w:t xml:space="preserve"> </w:t>
      </w:r>
      <w:r>
        <w:rPr>
          <w:bCs/>
          <w:b/>
        </w:rPr>
        <w:t xml:space="preserve">H6 is supported for the diffusion prior</w:t>
      </w:r>
      <w:r>
        <w:t xml:space="preserve">: its unseen content has a positive skill of 0.22 [0.14, 0.36] against the true CT, so it recovers part of what the views miss rather than inventing structure, and it reproduces the seen part far better than the physics-only reconstruction (0.88 vs 0.39). After Gaussian fitting the skill drops to 0.09, so the Gaussian step discards much of what the prior recovered. Nodules that are less visible to DTS had larger volume errors (Spearman</w:t>
      </w:r>
      <w:r>
        <w:t xml:space="preserve"> </w:t>
      </w:r>
      <m:oMath>
        <m:r>
          <m:rPr>
            <m:sty m:val="p"/>
          </m:rPr>
          <m:t>−</m:t>
        </m:r>
        <m:r>
          <m:t>0.47</m:t>
        </m:r>
      </m:oMath>
      <w:r>
        <w:t xml:space="preserve"> </w:t>
      </w:r>
      <w:r>
        <w:t xml:space="preserve">[</w:t>
      </w:r>
      <m:oMath>
        <m:r>
          <m:rPr>
            <m:sty m:val="p"/>
          </m:rPr>
          <m:t>−</m:t>
        </m:r>
        <m:r>
          <m:t>0.75</m:t>
        </m:r>
      </m:oMath>
      <w:r>
        <w:t xml:space="preserve">,</w:t>
      </w:r>
      <w:r>
        <w:t xml:space="preserve"> </w:t>
      </w:r>
      <m:oMath>
        <m:r>
          <m:rPr>
            <m:sty m:val="p"/>
          </m:rPr>
          <m:t>−</m:t>
        </m:r>
        <m:r>
          <m:t>0.12</m:t>
        </m:r>
      </m:oMath>
      <w:r>
        <w:t xml:space="preserve">],</w:t>
      </w:r>
      <w:r>
        <w:t xml:space="preserve"> </w:t>
      </w:r>
      <m:oMath>
        <m:r>
          <m:t>n</m:t>
        </m:r>
        <m:r>
          <m:rPr>
            <m:sty m:val="p"/>
          </m:rPr>
          <m:t>=</m:t>
        </m:r>
        <m:r>
          <m:t>30</m:t>
        </m:r>
      </m:oMath>
      <w:r>
        <w:t xml:space="preserve">). Figure 4.17 shows one nodule.</w:t>
      </w:r>
    </w:p>
    <w:p>
      <w:pPr>
        <w:pStyle w:val="BodyText"/>
        <w:jc w:val="center"/>
      </w:pPr>
      <w:r>
        <w:rPr>
          <w:bCs/>
          <w:b/>
          <w:iCs/>
          <w:i/>
          <w:sz w:val="20"/>
        </w:rPr>
        <w:t xml:space="preserve">Table 4.11:</w:t>
      </w:r>
      <w:r>
        <w:rPr>
          <w:iCs/>
          <w:i/>
          <w:sz w:val="20"/>
        </w:rPr>
        <w:t xml:space="preserve"> </w:t>
      </w:r>
      <w:r>
        <w:rPr>
          <w:iCs/>
          <w:i/>
          <w:sz w:val="20"/>
        </w:rPr>
        <w:t xml:space="preserve">Error drivers for diffusion with Gaussians: Spearman correlation with the absolute error [95% CI], 150 nodules (step 17).</w:t>
      </w:r>
    </w:p>
    <w:tbl>
      <w:tblPr>
        <w:tblStyle w:val="Table"/>
        <w:tblW w:type="auto" w:w="0"/>
        <w:tblLook w:firstRow="1" w:lastRow="0" w:firstColumn="0" w:lastColumn="0" w:noHBand="0" w:noVBand="0" w:val="0020"/>
        <w:jc w:val="start"/>
        <w:tblBorders>
          <w:top w:val="single" w:sz="12" w:color="000000"/>
          <w:bottom w:val="single" w:sz="12" w:color="000000"/>
          <w:insideH w:val="single" w:sz="6" w:color="808080"/>
        </w:tblBorders>
      </w:tblPr>
      <w:tblGrid>
        <w:gridCol w:w="5281"/>
        <w:gridCol w:w="2044"/>
        <w:gridCol w:w="1703"/>
      </w:tblGrid>
      <w:tr>
        <w:trPr>
          <w:tblHeader w:val="true"/>
        </w:trPr>
        <w:tc>
          <w:tcPr>
            <w:tcW w:type="dxa" w:w="5281"/>
          </w:tcPr>
          <w:p>
            <w:pPr>
              <w:pStyle w:val="Compact"/>
              <w:spacing w:line="240" w:lineRule="auto" w:after="40"/>
              <w:jc w:val="left"/>
            </w:pPr>
            <w:r>
              <w:rPr>
                <w:b/>
                <w:sz w:val="19"/>
              </w:rPr>
              <w:t xml:space="preserve">Nodule property</w:t>
            </w:r>
          </w:p>
        </w:tc>
        <w:tc>
          <w:tcPr>
            <w:tcW w:type="dxa" w:w="2044"/>
          </w:tcPr>
          <w:p>
            <w:pPr>
              <w:pStyle w:val="Compact"/>
              <w:spacing w:line="240" w:lineRule="auto" w:after="40"/>
              <w:jc w:val="center"/>
            </w:pPr>
            <w:r>
              <w:rPr>
                <w:b/>
                <w:sz w:val="19"/>
              </w:rPr>
              <w:t xml:space="preserve">Volume error</w:t>
            </w:r>
          </w:p>
        </w:tc>
        <w:tc>
          <w:tcPr>
            <w:tcW w:type="dxa" w:w="1704"/>
          </w:tcPr>
          <w:p>
            <w:pPr>
              <w:pStyle w:val="Compact"/>
              <w:spacing w:line="240" w:lineRule="auto" w:after="40"/>
              <w:jc w:val="center"/>
            </w:pPr>
            <w:r>
              <w:rPr>
                <w:b/>
                <w:sz w:val="19"/>
              </w:rPr>
              <w:t xml:space="preserve">Mass error</w:t>
            </w:r>
          </w:p>
        </w:tc>
      </w:tr>
      <w:tr>
        <w:tc>
          <w:tcPr>
            <w:tcW w:type="dxa" w:w="5281"/>
          </w:tcPr>
          <w:p>
            <w:pPr>
              <w:pStyle w:val="Compact"/>
              <w:spacing w:line="240" w:lineRule="auto" w:after="40"/>
              <w:jc w:val="left"/>
            </w:pPr>
            <w:r>
              <w:rPr>
                <w:sz w:val="19"/>
              </w:rPr>
              <w:t xml:space="preserve">Diameter (radiologists)</w:t>
            </w:r>
          </w:p>
        </w:tc>
        <w:tc>
          <w:tcPr>
            <w:tcW w:type="dxa" w:w="2044"/>
          </w:tcPr>
          <w:p>
            <w:pPr>
              <w:pStyle w:val="Compact"/>
              <w:spacing w:line="240" w:lineRule="auto" w:after="40"/>
              <w:jc w:val="center"/>
            </w:pPr>
            <m:oMath>
              <m:r>
                <m:rPr>
                  <m:sty m:val="p"/>
                </m:rPr>
                <m:t>−</m:t>
              </m:r>
              <m:r>
                <m:t>0.10</m:t>
              </m:r>
            </m:oMath>
            <w:r>
              <w:rPr>
                <w:sz w:val="19"/>
              </w:rPr>
              <w:t xml:space="preserve"> </w:t>
            </w:r>
            <w:r>
              <w:rPr>
                <w:sz w:val="19"/>
              </w:rPr>
              <w:t xml:space="preserve">[</w:t>
            </w:r>
            <m:oMath>
              <m:r>
                <m:rPr>
                  <m:sty m:val="p"/>
                </m:rPr>
                <m:t>−</m:t>
              </m:r>
              <m:r>
                <m:t>0.26</m:t>
              </m:r>
            </m:oMath>
            <w:r>
              <w:rPr>
                <w:sz w:val="19"/>
              </w:rPr>
              <w:t xml:space="preserve">,</w:t>
            </w:r>
            <w:r>
              <w:rPr>
                <w:sz w:val="19"/>
              </w:rPr>
              <w:t xml:space="preserve"> </w:t>
            </w:r>
            <m:oMath>
              <m:r>
                <m:rPr>
                  <m:sty m:val="p"/>
                </m:rPr>
                <m:t>+</m:t>
              </m:r>
              <m:r>
                <m:t>0.07</m:t>
              </m:r>
            </m:oMath>
            <w:r>
              <w:rPr>
                <w:sz w:val="19"/>
              </w:rPr>
              <w:t xml:space="preserve">]</w:t>
            </w:r>
          </w:p>
        </w:tc>
        <w:tc>
          <w:tcPr>
            <w:tcW w:type="dxa" w:w="1704"/>
          </w:tcPr>
          <w:p>
            <w:pPr>
              <w:pStyle w:val="Compact"/>
              <w:spacing w:line="240" w:lineRule="auto" w:after="40"/>
              <w:jc w:val="center"/>
            </w:pPr>
            <m:oMath>
              <m:r>
                <m:rPr>
                  <m:sty m:val="p"/>
                </m:rPr>
                <m:t>−</m:t>
              </m:r>
              <m:r>
                <m:t>0.20</m:t>
              </m:r>
            </m:oMath>
            <w:r>
              <w:rPr>
                <w:sz w:val="19"/>
              </w:rPr>
              <w:t xml:space="preserve"> </w:t>
            </w:r>
            <w:r>
              <w:rPr>
                <w:sz w:val="19"/>
              </w:rPr>
              <w:t xml:space="preserve">[</w:t>
            </w:r>
            <m:oMath>
              <m:r>
                <m:rPr>
                  <m:sty m:val="p"/>
                </m:rPr>
                <m:t>−</m:t>
              </m:r>
              <m:r>
                <m:t>0.34</m:t>
              </m:r>
            </m:oMath>
            <w:r>
              <w:rPr>
                <w:sz w:val="19"/>
              </w:rPr>
              <w:t xml:space="preserve">,</w:t>
            </w:r>
            <w:r>
              <w:rPr>
                <w:sz w:val="19"/>
              </w:rPr>
              <w:t xml:space="preserve"> </w:t>
            </w:r>
            <m:oMath>
              <m:r>
                <m:rPr>
                  <m:sty m:val="p"/>
                </m:rPr>
                <m:t>−</m:t>
              </m:r>
              <m:r>
                <m:t>0.03</m:t>
              </m:r>
            </m:oMath>
            <w:r>
              <w:rPr>
                <w:sz w:val="19"/>
              </w:rPr>
              <w:t xml:space="preserve">]</w:t>
            </w:r>
          </w:p>
        </w:tc>
      </w:tr>
      <w:tr>
        <w:tc>
          <w:tcPr>
            <w:tcW w:type="dxa" w:w="5281"/>
          </w:tcPr>
          <w:p>
            <w:pPr>
              <w:pStyle w:val="Compact"/>
              <w:spacing w:line="240" w:lineRule="auto" w:after="40"/>
              <w:jc w:val="left"/>
            </w:pPr>
            <w:r>
              <w:rPr>
                <w:sz w:val="19"/>
              </w:rPr>
              <w:t xml:space="preserve">Solidity (LIDC texture)</w:t>
            </w:r>
          </w:p>
        </w:tc>
        <w:tc>
          <w:tcPr>
            <w:tcW w:type="dxa" w:w="2044"/>
          </w:tcPr>
          <w:p>
            <w:pPr>
              <w:pStyle w:val="Compact"/>
              <w:spacing w:line="240" w:lineRule="auto" w:after="40"/>
              <w:jc w:val="center"/>
            </w:pPr>
            <m:oMath>
              <m:r>
                <m:rPr>
                  <m:sty m:val="p"/>
                </m:rPr>
                <m:t>−</m:t>
              </m:r>
              <m:r>
                <m:t>0.21</m:t>
              </m:r>
            </m:oMath>
            <w:r>
              <w:rPr>
                <w:sz w:val="19"/>
              </w:rPr>
              <w:t xml:space="preserve"> </w:t>
            </w:r>
            <w:r>
              <w:rPr>
                <w:sz w:val="19"/>
              </w:rPr>
              <w:t xml:space="preserve">[</w:t>
            </w:r>
            <m:oMath>
              <m:r>
                <m:rPr>
                  <m:sty m:val="p"/>
                </m:rPr>
                <m:t>−</m:t>
              </m:r>
              <m:r>
                <m:t>0.36</m:t>
              </m:r>
            </m:oMath>
            <w:r>
              <w:rPr>
                <w:sz w:val="19"/>
              </w:rPr>
              <w:t xml:space="preserve">,</w:t>
            </w:r>
            <w:r>
              <w:rPr>
                <w:sz w:val="19"/>
              </w:rPr>
              <w:t xml:space="preserve"> </w:t>
            </w:r>
            <m:oMath>
              <m:r>
                <m:rPr>
                  <m:sty m:val="p"/>
                </m:rPr>
                <m:t>−</m:t>
              </m:r>
              <m:r>
                <m:t>0.05</m:t>
              </m:r>
            </m:oMath>
            <w:r>
              <w:rPr>
                <w:sz w:val="19"/>
              </w:rPr>
              <w:t xml:space="preserve">]</w:t>
            </w:r>
          </w:p>
        </w:tc>
        <w:tc>
          <w:tcPr>
            <w:tcW w:type="dxa" w:w="1704"/>
          </w:tcPr>
          <w:p>
            <w:pPr>
              <w:pStyle w:val="Compact"/>
              <w:spacing w:line="240" w:lineRule="auto" w:after="40"/>
              <w:jc w:val="center"/>
            </w:pPr>
            <m:oMath>
              <m:r>
                <m:rPr>
                  <m:sty m:val="p"/>
                </m:rPr>
                <m:t>−</m:t>
              </m:r>
              <m:r>
                <m:t>0.17</m:t>
              </m:r>
            </m:oMath>
            <w:r>
              <w:rPr>
                <w:sz w:val="19"/>
              </w:rPr>
              <w:t xml:space="preserve"> </w:t>
            </w:r>
            <w:r>
              <w:rPr>
                <w:sz w:val="19"/>
              </w:rPr>
              <w:t xml:space="preserve">[</w:t>
            </w:r>
            <m:oMath>
              <m:r>
                <m:rPr>
                  <m:sty m:val="p"/>
                </m:rPr>
                <m:t>−</m:t>
              </m:r>
              <m:r>
                <m:t>0.32</m:t>
              </m:r>
            </m:oMath>
            <w:r>
              <w:rPr>
                <w:sz w:val="19"/>
              </w:rPr>
              <w:t xml:space="preserve">,</w:t>
            </w:r>
            <w:r>
              <w:rPr>
                <w:sz w:val="19"/>
              </w:rPr>
              <w:t xml:space="preserve"> </w:t>
            </w:r>
            <m:oMath>
              <m:r>
                <m:rPr>
                  <m:sty m:val="p"/>
                </m:rPr>
                <m:t>−</m:t>
              </m:r>
              <m:r>
                <m:t>0.01</m:t>
              </m:r>
            </m:oMath>
            <w:r>
              <w:rPr>
                <w:sz w:val="19"/>
              </w:rPr>
              <w:t xml:space="preserve">]</w:t>
            </w:r>
          </w:p>
        </w:tc>
      </w:tr>
      <w:tr>
        <w:tc>
          <w:tcPr>
            <w:tcW w:type="dxa" w:w="5281"/>
          </w:tcPr>
          <w:p>
            <w:pPr>
              <w:pStyle w:val="Compact"/>
              <w:spacing w:line="240" w:lineRule="auto" w:after="40"/>
              <w:jc w:val="left"/>
            </w:pPr>
            <w:r>
              <w:rPr>
                <w:sz w:val="19"/>
              </w:rPr>
              <w:t xml:space="preserve">Density (mean HU)</w:t>
            </w:r>
          </w:p>
        </w:tc>
        <w:tc>
          <w:tcPr>
            <w:tcW w:type="dxa" w:w="2044"/>
          </w:tcPr>
          <w:p>
            <w:pPr>
              <w:pStyle w:val="Compact"/>
              <w:spacing w:line="240" w:lineRule="auto" w:after="40"/>
              <w:jc w:val="center"/>
            </w:pPr>
            <m:oMath>
              <m:r>
                <m:rPr>
                  <m:sty m:val="p"/>
                </m:rPr>
                <m:t>−</m:t>
              </m:r>
              <m:r>
                <m:t>0.32</m:t>
              </m:r>
            </m:oMath>
            <w:r>
              <w:rPr>
                <w:sz w:val="19"/>
              </w:rPr>
              <w:t xml:space="preserve"> </w:t>
            </w:r>
            <w:r>
              <w:rPr>
                <w:sz w:val="19"/>
              </w:rPr>
              <w:t xml:space="preserve">[</w:t>
            </w:r>
            <m:oMath>
              <m:r>
                <m:rPr>
                  <m:sty m:val="p"/>
                </m:rPr>
                <m:t>−</m:t>
              </m:r>
              <m:r>
                <m:t>0.46</m:t>
              </m:r>
            </m:oMath>
            <w:r>
              <w:rPr>
                <w:sz w:val="19"/>
              </w:rPr>
              <w:t xml:space="preserve">,</w:t>
            </w:r>
            <w:r>
              <w:rPr>
                <w:sz w:val="19"/>
              </w:rPr>
              <w:t xml:space="preserve"> </w:t>
            </w:r>
            <m:oMath>
              <m:r>
                <m:rPr>
                  <m:sty m:val="p"/>
                </m:rPr>
                <m:t>−</m:t>
              </m:r>
              <m:r>
                <m:t>0.17</m:t>
              </m:r>
            </m:oMath>
            <w:r>
              <w:rPr>
                <w:sz w:val="19"/>
              </w:rPr>
              <w:t xml:space="preserve">]</w:t>
            </w:r>
          </w:p>
        </w:tc>
        <w:tc>
          <w:tcPr>
            <w:tcW w:type="dxa" w:w="1704"/>
          </w:tcPr>
          <w:p>
            <w:pPr>
              <w:pStyle w:val="Compact"/>
              <w:spacing w:line="240" w:lineRule="auto" w:after="40"/>
              <w:jc w:val="center"/>
            </w:pPr>
            <m:oMath>
              <m:r>
                <m:rPr>
                  <m:sty m:val="p"/>
                </m:rPr>
                <m:t>−</m:t>
              </m:r>
              <m:r>
                <m:t>0.35</m:t>
              </m:r>
            </m:oMath>
            <w:r>
              <w:rPr>
                <w:sz w:val="19"/>
              </w:rPr>
              <w:t xml:space="preserve"> </w:t>
            </w:r>
            <w:r>
              <w:rPr>
                <w:sz w:val="19"/>
              </w:rPr>
              <w:t xml:space="preserve">[</w:t>
            </w:r>
            <m:oMath>
              <m:r>
                <m:rPr>
                  <m:sty m:val="p"/>
                </m:rPr>
                <m:t>−</m:t>
              </m:r>
              <m:r>
                <m:t>0.49</m:t>
              </m:r>
            </m:oMath>
            <w:r>
              <w:rPr>
                <w:sz w:val="19"/>
              </w:rPr>
              <w:t xml:space="preserve">,</w:t>
            </w:r>
            <w:r>
              <w:rPr>
                <w:sz w:val="19"/>
              </w:rPr>
              <w:t xml:space="preserve"> </w:t>
            </w:r>
            <m:oMath>
              <m:r>
                <m:rPr>
                  <m:sty m:val="p"/>
                </m:rPr>
                <m:t>−</m:t>
              </m:r>
              <m:r>
                <m:t>0.20</m:t>
              </m:r>
            </m:oMath>
            <w:r>
              <w:rPr>
                <w:sz w:val="19"/>
              </w:rPr>
              <w:t xml:space="preserve">]</w:t>
            </w:r>
          </w:p>
        </w:tc>
      </w:tr>
      <w:tr>
        <w:tc>
          <w:tcPr>
            <w:tcW w:type="dxa" w:w="5281"/>
          </w:tcPr>
          <w:p>
            <w:pPr>
              <w:pStyle w:val="Compact"/>
              <w:spacing w:line="240" w:lineRule="auto" w:after="40"/>
              <w:jc w:val="left"/>
            </w:pPr>
            <w:r>
              <w:rPr>
                <w:sz w:val="19"/>
              </w:rPr>
              <w:t xml:space="preserve">Radiologists’ disagreement (CV)</w:t>
            </w:r>
          </w:p>
        </w:tc>
        <w:tc>
          <w:tcPr>
            <w:tcW w:type="dxa" w:w="2044"/>
          </w:tcPr>
          <w:p>
            <w:pPr>
              <w:pStyle w:val="Compact"/>
              <w:spacing w:line="240" w:lineRule="auto" w:after="40"/>
              <w:jc w:val="center"/>
            </w:pPr>
            <m:oMath>
              <m:r>
                <m:rPr>
                  <m:sty m:val="p"/>
                </m:rPr>
                <m:t>+</m:t>
              </m:r>
              <m:r>
                <m:t>0.04</m:t>
              </m:r>
            </m:oMath>
            <w:r>
              <w:rPr>
                <w:sz w:val="19"/>
              </w:rPr>
              <w:t xml:space="preserve"> </w:t>
            </w:r>
            <w:r>
              <w:rPr>
                <w:sz w:val="19"/>
              </w:rPr>
              <w:t xml:space="preserve">[</w:t>
            </w:r>
            <m:oMath>
              <m:r>
                <m:rPr>
                  <m:sty m:val="p"/>
                </m:rPr>
                <m:t>−</m:t>
              </m:r>
              <m:r>
                <m:t>0.13</m:t>
              </m:r>
            </m:oMath>
            <w:r>
              <w:rPr>
                <w:sz w:val="19"/>
              </w:rPr>
              <w:t xml:space="preserve">,</w:t>
            </w:r>
            <w:r>
              <w:rPr>
                <w:sz w:val="19"/>
              </w:rPr>
              <w:t xml:space="preserve"> </w:t>
            </w:r>
            <m:oMath>
              <m:r>
                <m:rPr>
                  <m:sty m:val="p"/>
                </m:rPr>
                <m:t>+</m:t>
              </m:r>
              <m:r>
                <m:t>0.20</m:t>
              </m:r>
            </m:oMath>
            <w:r>
              <w:rPr>
                <w:sz w:val="19"/>
              </w:rPr>
              <w:t xml:space="preserve">]</w:t>
            </w:r>
          </w:p>
        </w:tc>
        <w:tc>
          <w:tcPr>
            <w:tcW w:type="dxa" w:w="1704"/>
          </w:tcPr>
          <w:p>
            <w:pPr>
              <w:pStyle w:val="Compact"/>
              <w:spacing w:line="240" w:lineRule="auto" w:after="40"/>
              <w:jc w:val="center"/>
            </w:pPr>
            <m:oMath>
              <m:r>
                <m:rPr>
                  <m:sty m:val="p"/>
                </m:rPr>
                <m:t>+</m:t>
              </m:r>
              <m:r>
                <m:t>0.09</m:t>
              </m:r>
            </m:oMath>
            <w:r>
              <w:rPr>
                <w:sz w:val="19"/>
              </w:rPr>
              <w:t xml:space="preserve"> </w:t>
            </w:r>
            <w:r>
              <w:rPr>
                <w:sz w:val="19"/>
              </w:rPr>
              <w:t xml:space="preserve">[</w:t>
            </w:r>
            <m:oMath>
              <m:r>
                <m:rPr>
                  <m:sty m:val="p"/>
                </m:rPr>
                <m:t>−</m:t>
              </m:r>
              <m:r>
                <m:t>0.09</m:t>
              </m:r>
            </m:oMath>
            <w:r>
              <w:rPr>
                <w:sz w:val="19"/>
              </w:rPr>
              <w:t xml:space="preserve">,</w:t>
            </w:r>
            <w:r>
              <w:rPr>
                <w:sz w:val="19"/>
              </w:rPr>
              <w:t xml:space="preserve"> </w:t>
            </w:r>
            <m:oMath>
              <m:r>
                <m:rPr>
                  <m:sty m:val="p"/>
                </m:rPr>
                <m:t>+</m:t>
              </m:r>
              <m:r>
                <m:t>0.27</m:t>
              </m:r>
            </m:oMath>
            <w:r>
              <w:rPr>
                <w:sz w:val="19"/>
              </w:rPr>
              <w:t xml:space="preserve">]</w:t>
            </w:r>
          </w:p>
        </w:tc>
      </w:tr>
      <w:tr>
        <w:tc>
          <w:tcPr>
            <w:tcW w:type="dxa" w:w="5281"/>
          </w:tcPr>
          <w:p>
            <w:pPr>
              <w:pStyle w:val="Compact"/>
              <w:spacing w:line="240" w:lineRule="auto" w:after="40"/>
              <w:jc w:val="left"/>
            </w:pPr>
            <w:r>
              <w:rPr>
                <w:sz w:val="19"/>
              </w:rPr>
              <w:t xml:space="preserve">Malignancy rating</w:t>
            </w:r>
          </w:p>
        </w:tc>
        <w:tc>
          <w:tcPr>
            <w:tcW w:type="dxa" w:w="2044"/>
          </w:tcPr>
          <w:p>
            <w:pPr>
              <w:pStyle w:val="Compact"/>
              <w:spacing w:line="240" w:lineRule="auto" w:after="40"/>
              <w:jc w:val="center"/>
            </w:pPr>
            <m:oMath>
              <m:r>
                <m:rPr>
                  <m:sty m:val="p"/>
                </m:rPr>
                <m:t>−</m:t>
              </m:r>
              <m:r>
                <m:t>0.01</m:t>
              </m:r>
            </m:oMath>
            <w:r>
              <w:rPr>
                <w:sz w:val="19"/>
              </w:rPr>
              <w:t xml:space="preserve"> </w:t>
            </w:r>
            <w:r>
              <w:rPr>
                <w:sz w:val="19"/>
              </w:rPr>
              <w:t xml:space="preserve">[</w:t>
            </w:r>
            <m:oMath>
              <m:r>
                <m:rPr>
                  <m:sty m:val="p"/>
                </m:rPr>
                <m:t>−</m:t>
              </m:r>
              <m:r>
                <m:t>0.19</m:t>
              </m:r>
            </m:oMath>
            <w:r>
              <w:rPr>
                <w:sz w:val="19"/>
              </w:rPr>
              <w:t xml:space="preserve">,</w:t>
            </w:r>
            <w:r>
              <w:rPr>
                <w:sz w:val="19"/>
              </w:rPr>
              <w:t xml:space="preserve"> </w:t>
            </w:r>
            <m:oMath>
              <m:r>
                <m:rPr>
                  <m:sty m:val="p"/>
                </m:rPr>
                <m:t>+</m:t>
              </m:r>
              <m:r>
                <m:t>0.16</m:t>
              </m:r>
            </m:oMath>
            <w:r>
              <w:rPr>
                <w:sz w:val="19"/>
              </w:rPr>
              <w:t xml:space="preserve">]</w:t>
            </w:r>
          </w:p>
        </w:tc>
        <w:tc>
          <w:tcPr>
            <w:tcW w:type="dxa" w:w="1704"/>
          </w:tcPr>
          <w:p>
            <w:pPr>
              <w:pStyle w:val="Compact"/>
              <w:spacing w:line="240" w:lineRule="auto" w:after="40"/>
              <w:jc w:val="center"/>
            </w:pPr>
            <m:oMath>
              <m:r>
                <m:rPr>
                  <m:sty m:val="p"/>
                </m:rPr>
                <m:t>−</m:t>
              </m:r>
              <m:r>
                <m:t>0.12</m:t>
              </m:r>
            </m:oMath>
            <w:r>
              <w:rPr>
                <w:sz w:val="19"/>
              </w:rPr>
              <w:t xml:space="preserve"> </w:t>
            </w:r>
            <w:r>
              <w:rPr>
                <w:sz w:val="19"/>
              </w:rPr>
              <w:t xml:space="preserve">[</w:t>
            </w:r>
            <m:oMath>
              <m:r>
                <m:rPr>
                  <m:sty m:val="p"/>
                </m:rPr>
                <m:t>−</m:t>
              </m:r>
              <m:r>
                <m:t>0.28</m:t>
              </m:r>
            </m:oMath>
            <w:r>
              <w:rPr>
                <w:sz w:val="19"/>
              </w:rPr>
              <w:t xml:space="preserve">,</w:t>
            </w:r>
            <w:r>
              <w:rPr>
                <w:sz w:val="19"/>
              </w:rPr>
              <w:t xml:space="preserve"> </w:t>
            </w:r>
            <m:oMath>
              <m:r>
                <m:rPr>
                  <m:sty m:val="p"/>
                </m:rPr>
                <m:t>+</m:t>
              </m:r>
              <m:r>
                <m:t>0.04</m:t>
              </m:r>
            </m:oMath>
            <w:r>
              <w:rPr>
                <w:sz w:val="19"/>
              </w:rPr>
              <w:t xml:space="preserve">]</w:t>
            </w:r>
          </w:p>
        </w:tc>
      </w:tr>
      <w:tr>
        <w:tc>
          <w:tcPr>
            <w:tcW w:type="dxa" w:w="5281"/>
          </w:tcPr>
          <w:p>
            <w:pPr>
              <w:pStyle w:val="Compact"/>
              <w:spacing w:line="240" w:lineRule="auto" w:after="40"/>
              <w:jc w:val="left"/>
            </w:pPr>
            <w:r>
              <w:rPr>
                <w:sz w:val="19"/>
              </w:rPr>
              <w:t xml:space="preserve">Ensemble spread</w:t>
            </w:r>
          </w:p>
        </w:tc>
        <w:tc>
          <w:tcPr>
            <w:tcW w:type="dxa" w:w="2044"/>
          </w:tcPr>
          <w:p>
            <w:pPr>
              <w:pStyle w:val="Compact"/>
              <w:spacing w:line="240" w:lineRule="auto" w:after="40"/>
              <w:jc w:val="center"/>
            </w:pPr>
            <m:oMath>
              <m:r>
                <m:rPr>
                  <m:sty m:val="b"/>
                </m:rPr>
                <m:t>−</m:t>
              </m:r>
              <m:r>
                <m:rPr>
                  <m:sty m:val="b"/>
                </m:rPr>
                <m:t>0.52</m:t>
              </m:r>
            </m:oMath>
            <w:r>
              <w:rPr>
                <w:sz w:val="19"/>
              </w:rPr>
              <w:t xml:space="preserve"> </w:t>
            </w:r>
            <w:r>
              <w:rPr>
                <w:sz w:val="19"/>
              </w:rPr>
              <w:t xml:space="preserve">[</w:t>
            </w:r>
            <m:oMath>
              <m:r>
                <m:rPr>
                  <m:sty m:val="p"/>
                </m:rPr>
                <m:t>−</m:t>
              </m:r>
              <m:r>
                <m:t>0.65</m:t>
              </m:r>
            </m:oMath>
            <w:r>
              <w:rPr>
                <w:sz w:val="19"/>
              </w:rPr>
              <w:t xml:space="preserve">,</w:t>
            </w:r>
            <w:r>
              <w:rPr>
                <w:sz w:val="19"/>
              </w:rPr>
              <w:t xml:space="preserve"> </w:t>
            </w:r>
            <m:oMath>
              <m:r>
                <m:rPr>
                  <m:sty m:val="p"/>
                </m:rPr>
                <m:t>−</m:t>
              </m:r>
              <m:r>
                <m:t>0.37</m:t>
              </m:r>
            </m:oMath>
            <w:r>
              <w:rPr>
                <w:sz w:val="19"/>
              </w:rPr>
              <w:t xml:space="preserve">]</w:t>
            </w:r>
          </w:p>
        </w:tc>
        <w:tc>
          <w:tcPr>
            <w:tcW w:type="dxa" w:w="1704"/>
          </w:tcPr>
          <w:p>
            <w:pPr>
              <w:pStyle w:val="Compact"/>
              <w:spacing w:line="240" w:lineRule="auto" w:after="40"/>
              <w:jc w:val="center"/>
            </w:pPr>
            <m:oMath>
              <m:r>
                <m:rPr>
                  <m:sty m:val="b"/>
                </m:rPr>
                <m:t>−</m:t>
              </m:r>
              <m:r>
                <m:rPr>
                  <m:sty m:val="b"/>
                </m:rPr>
                <m:t>0.50</m:t>
              </m:r>
            </m:oMath>
            <w:r>
              <w:rPr>
                <w:sz w:val="19"/>
              </w:rPr>
              <w:t xml:space="preserve"> </w:t>
            </w:r>
            <w:r>
              <w:rPr>
                <w:sz w:val="19"/>
              </w:rPr>
              <w:t xml:space="preserve">[</w:t>
            </w:r>
            <m:oMath>
              <m:r>
                <m:rPr>
                  <m:sty m:val="p"/>
                </m:rPr>
                <m:t>−</m:t>
              </m:r>
              <m:r>
                <m:t>0.64</m:t>
              </m:r>
            </m:oMath>
            <w:r>
              <w:rPr>
                <w:sz w:val="19"/>
              </w:rPr>
              <w:t xml:space="preserve">,</w:t>
            </w:r>
            <w:r>
              <w:rPr>
                <w:sz w:val="19"/>
              </w:rPr>
              <w:t xml:space="preserve"> </w:t>
            </w:r>
            <m:oMath>
              <m:r>
                <m:rPr>
                  <m:sty m:val="p"/>
                </m:rPr>
                <m:t>−</m:t>
              </m:r>
              <m:r>
                <m:t>0.35</m:t>
              </m:r>
            </m:oMath>
            <w:r>
              <w:rPr>
                <w:sz w:val="19"/>
              </w:rPr>
              <w:t xml:space="preserve">]</w:t>
            </w:r>
          </w:p>
        </w:tc>
      </w:tr>
      <w:tr>
        <w:tc>
          <w:tcPr>
            <w:tcW w:type="dxa" w:w="5281"/>
          </w:tcPr>
          <w:p>
            <w:pPr>
              <w:pStyle w:val="Compact"/>
              <w:spacing w:line="240" w:lineRule="auto" w:after="40"/>
              <w:jc w:val="left"/>
            </w:pPr>
            <w:r>
              <w:rPr>
                <w:sz w:val="19"/>
              </w:rPr>
              <w:t xml:space="preserve">Physics data misfit</w:t>
            </w:r>
          </w:p>
        </w:tc>
        <w:tc>
          <w:tcPr>
            <w:tcW w:type="dxa" w:w="2044"/>
          </w:tcPr>
          <w:p>
            <w:pPr>
              <w:pStyle w:val="Compact"/>
              <w:spacing w:line="240" w:lineRule="auto" w:after="40"/>
              <w:jc w:val="center"/>
            </w:pPr>
            <m:oMath>
              <m:r>
                <m:rPr>
                  <m:sty m:val="p"/>
                </m:rPr>
                <m:t>−</m:t>
              </m:r>
              <m:r>
                <m:t>0.08</m:t>
              </m:r>
            </m:oMath>
            <w:r>
              <w:rPr>
                <w:sz w:val="19"/>
              </w:rPr>
              <w:t xml:space="preserve"> </w:t>
            </w:r>
            <w:r>
              <w:rPr>
                <w:sz w:val="19"/>
              </w:rPr>
              <w:t xml:space="preserve">[</w:t>
            </w:r>
            <m:oMath>
              <m:r>
                <m:rPr>
                  <m:sty m:val="p"/>
                </m:rPr>
                <m:t>−</m:t>
              </m:r>
              <m:r>
                <m:t>0.24</m:t>
              </m:r>
            </m:oMath>
            <w:r>
              <w:rPr>
                <w:sz w:val="19"/>
              </w:rPr>
              <w:t xml:space="preserve">,</w:t>
            </w:r>
            <w:r>
              <w:rPr>
                <w:sz w:val="19"/>
              </w:rPr>
              <w:t xml:space="preserve"> </w:t>
            </w:r>
            <m:oMath>
              <m:r>
                <m:rPr>
                  <m:sty m:val="p"/>
                </m:rPr>
                <m:t>+</m:t>
              </m:r>
              <m:r>
                <m:t>0.08</m:t>
              </m:r>
            </m:oMath>
            <w:r>
              <w:rPr>
                <w:sz w:val="19"/>
              </w:rPr>
              <w:t xml:space="preserve">]</w:t>
            </w:r>
          </w:p>
        </w:tc>
        <w:tc>
          <w:tcPr>
            <w:tcW w:type="dxa" w:w="1704"/>
          </w:tcPr>
          <w:p>
            <w:pPr>
              <w:pStyle w:val="Compact"/>
              <w:spacing w:line="240" w:lineRule="auto" w:after="40"/>
              <w:jc w:val="center"/>
            </w:pPr>
            <m:oMath>
              <m:r>
                <m:rPr>
                  <m:sty m:val="p"/>
                </m:rPr>
                <m:t>−</m:t>
              </m:r>
              <m:r>
                <m:t>0.04</m:t>
              </m:r>
            </m:oMath>
            <w:r>
              <w:rPr>
                <w:sz w:val="19"/>
              </w:rPr>
              <w:t xml:space="preserve"> </w:t>
            </w:r>
            <w:r>
              <w:rPr>
                <w:sz w:val="19"/>
              </w:rPr>
              <w:t xml:space="preserve">[</w:t>
            </w:r>
            <m:oMath>
              <m:r>
                <m:rPr>
                  <m:sty m:val="p"/>
                </m:rPr>
                <m:t>−</m:t>
              </m:r>
              <m:r>
                <m:t>0.19</m:t>
              </m:r>
            </m:oMath>
            <w:r>
              <w:rPr>
                <w:sz w:val="19"/>
              </w:rPr>
              <w:t xml:space="preserve">,</w:t>
            </w:r>
            <w:r>
              <w:rPr>
                <w:sz w:val="19"/>
              </w:rPr>
              <w:t xml:space="preserve"> </w:t>
            </w:r>
            <m:oMath>
              <m:r>
                <m:rPr>
                  <m:sty m:val="p"/>
                </m:rPr>
                <m:t>+</m:t>
              </m:r>
              <m:r>
                <m:t>0.12</m:t>
              </m:r>
            </m:oMath>
            <w:r>
              <w:rPr>
                <w:sz w:val="19"/>
              </w:rPr>
              <w:t xml:space="preserve">]</w:t>
            </w:r>
          </w:p>
        </w:tc>
      </w:tr>
    </w:tbl>
    <w:p>
      <w:pPr>
        <w:pStyle w:val="BodyText"/>
      </w:pPr>
      <w:r>
        <w:t xml:space="preserve">Table 4.11 shows which nodules fail. Faint (low-density) and less solid nodules have larger errors, while size and the radiologists’ own disagreement matter little. The most important finding is the sign of the ensemble spread: it is</w:t>
      </w:r>
      <w:r>
        <w:t xml:space="preserve"> </w:t>
      </w:r>
      <w:r>
        <w:rPr>
          <w:iCs/>
          <w:i/>
        </w:rPr>
        <w:t xml:space="preserve">negatively</w:t>
      </w:r>
      <w:r>
        <w:t xml:space="preserve"> </w:t>
      </w:r>
      <w:r>
        <w:t xml:space="preserve">correlated with the error (</w:t>
      </w:r>
      <m:oMath>
        <m:r>
          <m:rPr>
            <m:sty m:val="p"/>
          </m:rPr>
          <m:t>−</m:t>
        </m:r>
        <m:r>
          <m:t>0.52</m:t>
        </m:r>
      </m:oMath>
      <w:r>
        <w:t xml:space="preserve">). The eight samples agree most when they are most wrong, which happens when they all erase a faint nodule. The spread therefore signals the opposite of what an uncertainty should, which is also why the intervals normalised by it became unbounded.</w:t>
      </w:r>
    </w:p>
    <w:p>
      <w:pPr>
        <w:pStyle w:val="BodyText"/>
      </w:pPr>
      <w:r>
        <w:t xml:space="preserve">For the detector, the share of input</w:t>
      </w:r>
      <m:oMath>
        <m:r>
          <m:rPr>
            <m:sty m:val="p"/>
          </m:rPr>
          <m:t>×</m:t>
        </m:r>
      </m:oMath>
      <w:r>
        <w:t xml:space="preserve">gradient saliency within 10 mm of the suggestion was 0.15 for true positives and 0.16 for false positives (Figure 4.18): the detector looks at the local region in both cases, and false positives come from local structures that resemble nodules, such as vessels seen end-on, not from attention elsewhere.</w:t>
      </w:r>
    </w:p>
    <w:p>
      <w:pPr>
        <w:pStyle w:val="BodyText"/>
        <w:jc w:val="center"/>
      </w:pPr>
      <w:r>
        <w:drawing>
          <wp:inline>
            <wp:extent cx="5334000" cy="6578599"/>
            <wp:effectExtent b="0" l="0" r="0" t="0"/>
            <wp:docPr descr="image" title="" id="164" name="Picture"/>
            <a:graphic>
              <a:graphicData uri="http://schemas.openxmlformats.org/drawingml/2006/picture">
                <pic:pic>
                  <pic:nvPicPr>
                    <pic:cNvPr descr="/home/user/medlift3d/report/figures/results/seen_unseen_example.png" id="165" name="Picture"/>
                    <pic:cNvPicPr>
                      <a:picLocks noChangeArrowheads="1" noChangeAspect="1"/>
                    </pic:cNvPicPr>
                  </pic:nvPicPr>
                  <pic:blipFill>
                    <a:blip r:embed="rId163"/>
                    <a:stretch>
                      <a:fillRect/>
                    </a:stretch>
                  </pic:blipFill>
                  <pic:spPr bwMode="auto">
                    <a:xfrm>
                      <a:off x="0" y="0"/>
                      <a:ext cx="5334000" cy="6578599"/>
                    </a:xfrm>
                    <a:prstGeom prst="rect">
                      <a:avLst/>
                    </a:prstGeom>
                    <a:noFill/>
                    <a:ln w="9525">
                      <a:noFill/>
                      <a:headEnd/>
                      <a:tailEnd/>
                    </a:ln>
                  </pic:spPr>
                </pic:pic>
              </a:graphicData>
            </a:graphic>
          </wp:inline>
        </w:drawing>
      </w:r>
    </w:p>
    <w:p>
      <w:pPr>
        <w:pStyle w:val="BodyText"/>
        <w:jc w:val="center"/>
      </w:pPr>
      <w:r>
        <w:rPr>
          <w:bCs/>
          <w:b/>
          <w:iCs/>
          <w:i/>
          <w:sz w:val="20"/>
        </w:rPr>
        <w:t xml:space="preserve">Figure 4.17:</w:t>
      </w:r>
      <w:r>
        <w:rPr>
          <w:iCs/>
          <w:i/>
          <w:sz w:val="20"/>
        </w:rPr>
        <w:t xml:space="preserve"> </w:t>
      </w:r>
      <w:r>
        <w:rPr>
          <w:iCs/>
          <w:i/>
          <w:sz w:val="20"/>
        </w:rPr>
        <w:t xml:space="preserve">Seen/unseen split for one test nodule (LIDC-IDRI-0018): CT truth, ROI-SIRT, diffusion and diffusion with Gaussians, with the excess-attenuation profile through the nodule centre in depth (bottom).</w:t>
      </w:r>
    </w:p>
    <w:p>
      <w:pPr>
        <w:pStyle w:val="BodyText"/>
        <w:jc w:val="center"/>
      </w:pPr>
      <w:r>
        <w:drawing>
          <wp:inline>
            <wp:extent cx="5334000" cy="1839310"/>
            <wp:effectExtent b="0" l="0" r="0" t="0"/>
            <wp:docPr descr="image" title="" id="167" name="Picture"/>
            <a:graphic>
              <a:graphicData uri="http://schemas.openxmlformats.org/drawingml/2006/picture">
                <pic:pic>
                  <pic:nvPicPr>
                    <pic:cNvPr descr="/home/user/medlift3d/report/figures/results/saliency_examples.png" id="168" name="Picture"/>
                    <pic:cNvPicPr>
                      <a:picLocks noChangeArrowheads="1" noChangeAspect="1"/>
                    </pic:cNvPicPr>
                  </pic:nvPicPr>
                  <pic:blipFill>
                    <a:blip r:embed="rId166"/>
                    <a:stretch>
                      <a:fillRect/>
                    </a:stretch>
                  </pic:blipFill>
                  <pic:spPr bwMode="auto">
                    <a:xfrm>
                      <a:off x="0" y="0"/>
                      <a:ext cx="5334000" cy="1839310"/>
                    </a:xfrm>
                    <a:prstGeom prst="rect">
                      <a:avLst/>
                    </a:prstGeom>
                    <a:noFill/>
                    <a:ln w="9525">
                      <a:noFill/>
                      <a:headEnd/>
                      <a:tailEnd/>
                    </a:ln>
                  </pic:spPr>
                </pic:pic>
              </a:graphicData>
            </a:graphic>
          </wp:inline>
        </w:drawing>
      </w:r>
    </w:p>
    <w:p>
      <w:pPr>
        <w:pStyle w:val="BodyText"/>
        <w:jc w:val="center"/>
      </w:pPr>
      <w:r>
        <w:rPr>
          <w:bCs/>
          <w:b/>
          <w:iCs/>
          <w:i/>
          <w:sz w:val="20"/>
        </w:rPr>
        <w:t xml:space="preserve">Figure 4.18:</w:t>
      </w:r>
      <w:r>
        <w:rPr>
          <w:iCs/>
          <w:i/>
          <w:sz w:val="20"/>
        </w:rPr>
        <w:t xml:space="preserve"> </w:t>
      </w:r>
      <w:r>
        <w:rPr>
          <w:iCs/>
          <w:i/>
          <w:sz w:val="20"/>
        </w:rPr>
        <w:t xml:space="preserve">Input</w:t>
      </w:r>
      <m:oMath>
        <m:r>
          <m:rPr>
            <m:sty m:val="p"/>
          </m:rPr>
          <m:t>×</m:t>
        </m:r>
      </m:oMath>
      <w:r>
        <w:rPr>
          <w:iCs/>
          <w:i/>
          <w:sz w:val="20"/>
        </w:rPr>
        <w:t xml:space="preserve">gradient saliency of the detector for true and false positive suggestions (coronal and depth views).</w:t>
      </w:r>
    </w:p>
    <w:bookmarkEnd w:id="169"/>
    <w:bookmarkStart w:id="173" w:name="why-the-measurements-failed"/>
    <w:p>
      <w:pPr>
        <w:pStyle w:val="Heading3"/>
      </w:pPr>
      <w:r>
        <w:t xml:space="preserve">4.3.7 Why the Measurements Failed</w:t>
      </w:r>
    </w:p>
    <w:p>
      <w:pPr>
        <w:pStyle w:val="FirstParagraph"/>
      </w:pPr>
      <w:r>
        <w:t xml:space="preserve">The results point to three causes, each of which suggests a fix.</w:t>
      </w:r>
    </w:p>
    <w:p>
      <w:pPr>
        <w:numPr>
          <w:ilvl w:val="0"/>
          <w:numId w:val="1004"/>
        </w:numPr>
      </w:pPr>
      <w:r>
        <w:rPr>
          <w:bCs/>
          <w:b/>
        </w:rPr>
        <w:t xml:space="preserve">The prior shrinks faint nodules.</w:t>
      </w:r>
      <w:r>
        <w:t xml:space="preserve"> </w:t>
      </w:r>
      <w:r>
        <w:t xml:space="preserve">Training pairs were cut around nodules and around nodule-free lung, and the prior was not told that a nodule is present at the click. For faint nodules it often produces plausible normal lung instead, which is consistent with the strong negative bias, the larger errors of low-density nodules and the low ensemble spread on failures. Figure 4.19 shows such a case. A fix is to condition the prior on the click or oversample nodule pairs.</w:t>
      </w:r>
    </w:p>
    <w:p>
      <w:pPr>
        <w:numPr>
          <w:ilvl w:val="0"/>
          <w:numId w:val="1004"/>
        </w:numPr>
      </w:pPr>
      <w:r>
        <w:rPr>
          <w:bCs/>
          <w:b/>
        </w:rPr>
        <w:t xml:space="preserve">Mass is measured in image space.</w:t>
      </w:r>
      <w:r>
        <w:t xml:space="preserve"> </w:t>
      </w:r>
      <w:r>
        <w:t xml:space="preserve">Although the X-rays fully determine the mass (0.3% unseen), our measurement integrates the reconstruction inside a segmented window, so segmentation failures and the prior’s shrinkage pass into the mass. A projection-domain mass estimate, which integrates the detector signal directly, would use the H1 physics as intended.</w:t>
      </w:r>
    </w:p>
    <w:p>
      <w:pPr>
        <w:numPr>
          <w:ilvl w:val="0"/>
          <w:numId w:val="1004"/>
        </w:numPr>
      </w:pPr>
      <w:r>
        <w:rPr>
          <w:bCs/>
          <w:b/>
        </w:rPr>
        <w:t xml:space="preserve">Failures break the calibration.</w:t>
      </w:r>
      <w:r>
        <w:t xml:space="preserve"> </w:t>
      </w:r>
      <w:r>
        <w:t xml:space="preserve">Measurements of zero give infinite log-errors and unbounded intervals. Treating</w:t>
      </w:r>
      <w:r>
        <w:t xml:space="preserve"> </w:t>
      </w:r>
      <w:r>
        <w:t xml:space="preserve">“</w:t>
      </w:r>
      <w:r>
        <w:t xml:space="preserve">not measurable</w:t>
      </w:r>
      <w:r>
        <w:t xml:space="preserve">”</w:t>
      </w:r>
      <w:r>
        <w:t xml:space="preserve"> </w:t>
      </w:r>
      <w:r>
        <w:t xml:space="preserve">as a separate outcome, reported with its own probability, and calibrating only the measurable cases would give finite intervals.</w:t>
      </w:r>
    </w:p>
    <w:p>
      <w:pPr>
        <w:pStyle w:val="FirstParagraph"/>
        <w:jc w:val="center"/>
      </w:pPr>
      <w:r>
        <w:drawing>
          <wp:inline>
            <wp:extent cx="5334000" cy="9724759"/>
            <wp:effectExtent b="0" l="0" r="0" t="0"/>
            <wp:docPr descr="image" title="" id="171" name="Picture"/>
            <a:graphic>
              <a:graphicData uri="http://schemas.openxmlformats.org/drawingml/2006/picture">
                <pic:pic>
                  <pic:nvPicPr>
                    <pic:cNvPr descr="/home/user/medlift3d/report/figures/results/nodule_example.png" id="172" name="Picture"/>
                    <pic:cNvPicPr>
                      <a:picLocks noChangeArrowheads="1" noChangeAspect="1"/>
                    </pic:cNvPicPr>
                  </pic:nvPicPr>
                  <pic:blipFill>
                    <a:blip r:embed="rId170"/>
                    <a:stretch>
                      <a:fillRect/>
                    </a:stretch>
                  </pic:blipFill>
                  <pic:spPr bwMode="auto">
                    <a:xfrm>
                      <a:off x="0" y="0"/>
                      <a:ext cx="5334000" cy="9724759"/>
                    </a:xfrm>
                    <a:prstGeom prst="rect">
                      <a:avLst/>
                    </a:prstGeom>
                    <a:noFill/>
                    <a:ln w="9525">
                      <a:noFill/>
                      <a:headEnd/>
                      <a:tailEnd/>
                    </a:ln>
                  </pic:spPr>
                </pic:pic>
              </a:graphicData>
            </a:graphic>
          </wp:inline>
        </w:drawing>
      </w:r>
    </w:p>
    <w:p>
      <w:pPr>
        <w:pStyle w:val="BodyText"/>
        <w:jc w:val="center"/>
      </w:pPr>
      <w:r>
        <w:rPr>
          <w:bCs/>
          <w:b/>
          <w:iCs/>
          <w:i/>
          <w:sz w:val="20"/>
        </w:rPr>
        <w:t xml:space="preserve">Figure 4.19:</w:t>
      </w:r>
      <w:r>
        <w:rPr>
          <w:iCs/>
          <w:i/>
          <w:sz w:val="20"/>
        </w:rPr>
        <w:t xml:space="preserve"> </w:t>
      </w:r>
      <w:r>
        <w:rPr>
          <w:iCs/>
          <w:i/>
          <w:sz w:val="20"/>
        </w:rPr>
        <w:t xml:space="preserve">One test nodule (LIDC-IDRI-0004, 6.8 mm) through all methods: CT truth, the DTS input, and each reconstruction with its segmentation (red) and sample spread (right).</w:t>
      </w:r>
    </w:p>
    <w:bookmarkEnd w:id="173"/>
    <w:bookmarkStart w:id="174" w:name="acquisition-geometry-sensitivity"/>
    <w:p>
      <w:pPr>
        <w:pStyle w:val="Heading3"/>
      </w:pPr>
      <w:r>
        <w:t xml:space="preserve">4.3.8 Acquisition Geometry Sensitivity</w:t>
      </w:r>
    </w:p>
    <w:p>
      <w:pPr>
        <w:pStyle w:val="FirstParagraph"/>
      </w:pPr>
      <w:r>
        <w:t xml:space="preserve">On 12 nodules of two test patients, the depth smear (depth over in-plane width of the artifact spread) was 5.13 for 15 views over 30°, 5.34 for 60 views over 30° (four times the compute), 4.69 for 15 views over 40° and 4.61 for 74 views over 40°, against 0.95 for CT. At equal dose the number of views hardly matters, while a 40° sweep reduces the smear by about 9%; our 15-view, 30° setting is therefore the conservative case.</w:t>
      </w:r>
    </w:p>
    <w:bookmarkEnd w:id="174"/>
    <w:bookmarkStart w:id="190" w:name="run-time-cost-and-application"/>
    <w:p>
      <w:pPr>
        <w:pStyle w:val="Heading3"/>
      </w:pPr>
      <w:r>
        <w:t xml:space="preserve">4.3.9 Run Time, Cost and Application</w:t>
      </w:r>
    </w:p>
    <w:p>
      <w:pPr>
        <w:pStyle w:val="FirstParagraph"/>
      </w:pPr>
      <w:r>
        <w:t xml:space="preserve">The full run took about 15 hours on one RunPod L40S GPU at US$1.33 per hour, about US$20 in total, including 6 hours of diffusion training and about 18 minutes for the detector; measuring one nodule with all five reconstruction methods took a median of 45.5 s. The application loads the trained models on a free Kaggle notebook and is reached from a browser through an HTTPS tunnel. For a click on an annotated nodule it returns mass and volume with intervals, the EUPS category with probabilities, the prism views with the sample spread, and an interactive 3D view in which the reconstruction is coloured by the disagreement of the eight samples and the radiologists’ nodule is shown in grey (Figure 4.20); in both views the uncertainty is largest in depth, as the physics predicts. A click where no nodule exists returns</w:t>
      </w:r>
      <w:r>
        <w:t xml:space="preserve"> </w:t>
      </w:r>
      <w:r>
        <w:t xml:space="preserve">“</w:t>
      </w:r>
      <w:r>
        <w:t xml:space="preserve">no nodule measured at the click</w:t>
      </w:r>
      <w:r>
        <w:t xml:space="preserve">”</w:t>
      </w:r>
      <w:r>
        <w:t xml:space="preserve"> </w:t>
      </w:r>
      <w:r>
        <w:t xml:space="preserve">instead of a number, as NFR-05 requires.</w:t>
      </w:r>
    </w:p>
    <w:p>
      <w:pPr>
        <w:pStyle w:val="BodyText"/>
        <w:jc w:val="center"/>
      </w:pPr>
      <w:r>
        <w:drawing>
          <wp:inline>
            <wp:extent cx="5334000" cy="2389679"/>
            <wp:effectExtent b="0" l="0" r="0" t="0"/>
            <wp:docPr descr="image" title="" id="176" name="Picture"/>
            <a:graphic>
              <a:graphicData uri="http://schemas.openxmlformats.org/drawingml/2006/picture">
                <pic:pic>
                  <pic:nvPicPr>
                    <pic:cNvPr descr="/home/user/medlift3d/report/figures/results/demo_3d_a.png" id="177" name="Picture"/>
                    <pic:cNvPicPr>
                      <a:picLocks noChangeArrowheads="1" noChangeAspect="1"/>
                    </pic:cNvPicPr>
                  </pic:nvPicPr>
                  <pic:blipFill>
                    <a:blip r:embed="rId175"/>
                    <a:stretch>
                      <a:fillRect/>
                    </a:stretch>
                  </pic:blipFill>
                  <pic:spPr bwMode="auto">
                    <a:xfrm>
                      <a:off x="0" y="0"/>
                      <a:ext cx="5334000" cy="2389679"/>
                    </a:xfrm>
                    <a:prstGeom prst="rect">
                      <a:avLst/>
                    </a:prstGeom>
                    <a:noFill/>
                    <a:ln w="9525">
                      <a:noFill/>
                      <a:headEnd/>
                      <a:tailEnd/>
                    </a:ln>
                  </pic:spPr>
                </pic:pic>
              </a:graphicData>
            </a:graphic>
          </wp:inline>
        </w:drawing>
      </w:r>
    </w:p>
    <w:p>
      <w:pPr>
        <w:pStyle w:val="BodyText"/>
        <w:jc w:val="center"/>
      </w:pPr>
      <w:r>
        <w:rPr>
          <w:iCs/>
          <w:i/>
          <w:sz w:val="20"/>
        </w:rPr>
        <w:t xml:space="preserve">(a)</w:t>
      </w:r>
    </w:p>
    <w:p>
      <w:pPr>
        <w:pStyle w:val="BodyText"/>
        <w:jc w:val="center"/>
      </w:pPr>
      <w:r>
        <w:drawing>
          <wp:inline>
            <wp:extent cx="5334000" cy="2389679"/>
            <wp:effectExtent b="0" l="0" r="0" t="0"/>
            <wp:docPr descr="image" title="" id="179" name="Picture"/>
            <a:graphic>
              <a:graphicData uri="http://schemas.openxmlformats.org/drawingml/2006/picture">
                <pic:pic>
                  <pic:nvPicPr>
                    <pic:cNvPr descr="/home/user/medlift3d/report/figures/results/demo_3d_b.png" id="180" name="Picture"/>
                    <pic:cNvPicPr>
                      <a:picLocks noChangeArrowheads="1" noChangeAspect="1"/>
                    </pic:cNvPicPr>
                  </pic:nvPicPr>
                  <pic:blipFill>
                    <a:blip r:embed="rId178"/>
                    <a:stretch>
                      <a:fillRect/>
                    </a:stretch>
                  </pic:blipFill>
                  <pic:spPr bwMode="auto">
                    <a:xfrm>
                      <a:off x="0" y="0"/>
                      <a:ext cx="5334000" cy="2389679"/>
                    </a:xfrm>
                    <a:prstGeom prst="rect">
                      <a:avLst/>
                    </a:prstGeom>
                    <a:noFill/>
                    <a:ln w="9525">
                      <a:noFill/>
                      <a:headEnd/>
                      <a:tailEnd/>
                    </a:ln>
                  </pic:spPr>
                </pic:pic>
              </a:graphicData>
            </a:graphic>
          </wp:inline>
        </w:drawing>
      </w:r>
    </w:p>
    <w:p>
      <w:pPr>
        <w:pStyle w:val="BodyText"/>
        <w:jc w:val="center"/>
      </w:pPr>
      <w:r>
        <w:rPr>
          <w:iCs/>
          <w:i/>
          <w:sz w:val="20"/>
        </w:rPr>
        <w:t xml:space="preserve">(b)</w:t>
      </w:r>
    </w:p>
    <w:p>
      <w:pPr>
        <w:pStyle w:val="BodyText"/>
        <w:jc w:val="center"/>
      </w:pPr>
      <w:r>
        <w:rPr>
          <w:bCs/>
          <w:b/>
          <w:iCs/>
          <w:i/>
          <w:sz w:val="20"/>
        </w:rPr>
        <w:t xml:space="preserve">Figure 4.20:</w:t>
      </w:r>
      <w:r>
        <w:rPr>
          <w:iCs/>
          <w:i/>
          <w:sz w:val="20"/>
        </w:rPr>
        <w:t xml:space="preserve"> </w:t>
      </w:r>
      <w:r>
        <w:rPr>
          <w:iCs/>
          <w:i/>
          <w:sz w:val="20"/>
        </w:rPr>
        <w:t xml:space="preserve">3D view of the application for two test nodules. The reconstruction is coloured by the disagreement of the eight samples (green: samples agree; red: uncertain, mostly in depth) and the radiologists’ nodule is shown in grey. In (a) the reconstruction matches the consensus nodule; in (b) it is smaller than the consensus nodule, the shrinkage discussed in Section 4.3.</w:t>
      </w:r>
    </w:p>
    <w:p>
      <w:pPr>
        <w:pStyle w:val="BodyText"/>
      </w:pPr>
      <w:r>
        <w:t xml:space="preserve">The application also shows the prism around the click in the coronal plane (what DTS shows) and the sagittal plane (depth, where DTS is blind), together with the mean reconstruction, its segmentation and the sample spread (Figure 4.21). For a solid, well-contrasted nodule the segmentation follows the nodule and the spread is concentrated at its border; for a faint nodule the reconstruction is smaller and less certain; and the physics-only Gaussians can fail completely near the chest wall, where the spread is high everywhere and no nodule is found.</w:t>
      </w:r>
    </w:p>
    <w:p>
      <w:pPr>
        <w:pStyle w:val="BodyText"/>
        <w:jc w:val="center"/>
      </w:pPr>
      <w:r>
        <w:drawing>
          <wp:inline>
            <wp:extent cx="5334000" cy="2784661"/>
            <wp:effectExtent b="0" l="0" r="0" t="0"/>
            <wp:docPr descr="image" title="" id="182" name="Picture"/>
            <a:graphic>
              <a:graphicData uri="http://schemas.openxmlformats.org/drawingml/2006/picture">
                <pic:pic>
                  <pic:nvPicPr>
                    <pic:cNvPr descr="/home/user/medlift3d/report/figures/results/demo_roi_solid.png" id="183" name="Picture"/>
                    <pic:cNvPicPr>
                      <a:picLocks noChangeArrowheads="1" noChangeAspect="1"/>
                    </pic:cNvPicPr>
                  </pic:nvPicPr>
                  <pic:blipFill>
                    <a:blip r:embed="rId181"/>
                    <a:stretch>
                      <a:fillRect/>
                    </a:stretch>
                  </pic:blipFill>
                  <pic:spPr bwMode="auto">
                    <a:xfrm>
                      <a:off x="0" y="0"/>
                      <a:ext cx="5334000" cy="2784661"/>
                    </a:xfrm>
                    <a:prstGeom prst="rect">
                      <a:avLst/>
                    </a:prstGeom>
                    <a:noFill/>
                    <a:ln w="9525">
                      <a:noFill/>
                      <a:headEnd/>
                      <a:tailEnd/>
                    </a:ln>
                  </pic:spPr>
                </pic:pic>
              </a:graphicData>
            </a:graphic>
          </wp:inline>
        </w:drawing>
      </w:r>
    </w:p>
    <w:p>
      <w:pPr>
        <w:pStyle w:val="BodyText"/>
        <w:jc w:val="center"/>
      </w:pPr>
      <w:r>
        <w:rPr>
          <w:iCs/>
          <w:i/>
          <w:sz w:val="20"/>
        </w:rPr>
        <w:t xml:space="preserve">(a) Solid nodule, diffusion with Gaussians.</w:t>
      </w:r>
    </w:p>
    <w:p>
      <w:pPr>
        <w:pStyle w:val="BodyText"/>
        <w:jc w:val="center"/>
      </w:pPr>
      <w:r>
        <w:drawing>
          <wp:inline>
            <wp:extent cx="5334000" cy="2784661"/>
            <wp:effectExtent b="0" l="0" r="0" t="0"/>
            <wp:docPr descr="image" title="" id="185" name="Picture"/>
            <a:graphic>
              <a:graphicData uri="http://schemas.openxmlformats.org/drawingml/2006/picture">
                <pic:pic>
                  <pic:nvPicPr>
                    <pic:cNvPr descr="/home/user/medlift3d/report/figures/results/demo_roi_faint.png" id="186" name="Picture"/>
                    <pic:cNvPicPr>
                      <a:picLocks noChangeArrowheads="1" noChangeAspect="1"/>
                    </pic:cNvPicPr>
                  </pic:nvPicPr>
                  <pic:blipFill>
                    <a:blip r:embed="rId184"/>
                    <a:stretch>
                      <a:fillRect/>
                    </a:stretch>
                  </pic:blipFill>
                  <pic:spPr bwMode="auto">
                    <a:xfrm>
                      <a:off x="0" y="0"/>
                      <a:ext cx="5334000" cy="2784661"/>
                    </a:xfrm>
                    <a:prstGeom prst="rect">
                      <a:avLst/>
                    </a:prstGeom>
                    <a:noFill/>
                    <a:ln w="9525">
                      <a:noFill/>
                      <a:headEnd/>
                      <a:tailEnd/>
                    </a:ln>
                  </pic:spPr>
                </pic:pic>
              </a:graphicData>
            </a:graphic>
          </wp:inline>
        </w:drawing>
      </w:r>
    </w:p>
    <w:p>
      <w:pPr>
        <w:pStyle w:val="BodyText"/>
        <w:jc w:val="center"/>
      </w:pPr>
      <w:r>
        <w:rPr>
          <w:iCs/>
          <w:i/>
          <w:sz w:val="20"/>
        </w:rPr>
        <w:t xml:space="preserve">(b) Faint nodule, diffusion with Gaussians.</w:t>
      </w:r>
    </w:p>
    <w:p>
      <w:pPr>
        <w:pStyle w:val="BodyText"/>
        <w:jc w:val="center"/>
      </w:pPr>
      <w:r>
        <w:drawing>
          <wp:inline>
            <wp:extent cx="5334000" cy="2784661"/>
            <wp:effectExtent b="0" l="0" r="0" t="0"/>
            <wp:docPr descr="image" title="" id="188" name="Picture"/>
            <a:graphic>
              <a:graphicData uri="http://schemas.openxmlformats.org/drawingml/2006/picture">
                <pic:pic>
                  <pic:nvPicPr>
                    <pic:cNvPr descr="/home/user/medlift3d/report/figures/results/demo_roi_physics.png" id="189" name="Picture"/>
                    <pic:cNvPicPr>
                      <a:picLocks noChangeArrowheads="1" noChangeAspect="1"/>
                    </pic:cNvPicPr>
                  </pic:nvPicPr>
                  <pic:blipFill>
                    <a:blip r:embed="rId187"/>
                    <a:stretch>
                      <a:fillRect/>
                    </a:stretch>
                  </pic:blipFill>
                  <pic:spPr bwMode="auto">
                    <a:xfrm>
                      <a:off x="0" y="0"/>
                      <a:ext cx="5334000" cy="2784661"/>
                    </a:xfrm>
                    <a:prstGeom prst="rect">
                      <a:avLst/>
                    </a:prstGeom>
                    <a:noFill/>
                    <a:ln w="9525">
                      <a:noFill/>
                      <a:headEnd/>
                      <a:tailEnd/>
                    </a:ln>
                  </pic:spPr>
                </pic:pic>
              </a:graphicData>
            </a:graphic>
          </wp:inline>
        </w:drawing>
      </w:r>
    </w:p>
    <w:p>
      <w:pPr>
        <w:pStyle w:val="BodyText"/>
        <w:jc w:val="center"/>
      </w:pPr>
      <w:r>
        <w:rPr>
          <w:iCs/>
          <w:i/>
          <w:sz w:val="20"/>
        </w:rPr>
        <w:t xml:space="preserve">(c) Nodule near the chest wall, physics-only Gaussians: no nodule found.</w:t>
      </w:r>
    </w:p>
    <w:p>
      <w:pPr>
        <w:pStyle w:val="BodyText"/>
        <w:jc w:val="center"/>
      </w:pPr>
      <w:r>
        <w:rPr>
          <w:bCs/>
          <w:b/>
          <w:iCs/>
          <w:i/>
          <w:sz w:val="20"/>
        </w:rPr>
        <w:t xml:space="preserve">Figure 4.21:</w:t>
      </w:r>
      <w:r>
        <w:rPr>
          <w:iCs/>
          <w:i/>
          <w:sz w:val="20"/>
        </w:rPr>
        <w:t xml:space="preserve"> </w:t>
      </w:r>
      <w:r>
        <w:rPr>
          <w:iCs/>
          <w:i/>
          <w:sz w:val="20"/>
        </w:rPr>
        <w:t xml:space="preserve">Prism views in the application: DTS input (top row of each panel) and reconstruction with its segmentation (red) and sample standard deviation (bottom row), coronal and sagittal (depth).</w:t>
      </w:r>
    </w:p>
    <w:bookmarkEnd w:id="190"/>
    <w:bookmarkEnd w:id="191"/>
    <w:bookmarkStart w:id="192" w:name="summary-2"/>
    <w:p>
      <w:pPr>
        <w:pStyle w:val="Heading2"/>
      </w:pPr>
      <w:r>
        <w:t xml:space="preserve">4.4 Summary</w:t>
      </w:r>
    </w:p>
    <w:p>
      <w:pPr>
        <w:pStyle w:val="FirstParagraph"/>
      </w:pPr>
      <w:r>
        <w:t xml:space="preserve">Every requirement with a fixed criterion was checked automatically. The pipeline, the simulation, the reconstruction, the detector and the uncertainty machinery worked as specified: the learned detector beat the training-free baseline by a factor of 17 in CPM, the diffusion prior improved nodule-region PSNR by 3.35 dB on held-out pairs, conformal intervals reached their target coverage, calibrated category probabilities cut the Brier score for</w:t>
      </w:r>
      <w:r>
        <w:t xml:space="preserve"> </w:t>
      </w:r>
      <m:oMath>
        <m:r>
          <m:t>P</m:t>
        </m:r>
        <m:d>
          <m:dPr>
            <m:begChr m:val="("/>
            <m:endChr m:val=")"/>
            <m:sepChr m:val=""/>
            <m:grow/>
          </m:dPr>
          <m:e>
            <m:r>
              <m:t>V</m:t>
            </m:r>
            <m:r>
              <m:rPr>
                <m:sty m:val="p"/>
              </m:rPr>
              <m:t>≥</m:t>
            </m:r>
            <m:r>
              <m:t>100</m:t>
            </m:r>
          </m:e>
        </m:d>
      </m:oMath>
      <w:r>
        <w:t xml:space="preserve"> </w:t>
      </w:r>
      <w:r>
        <w:t xml:space="preserve">from 0.54 to 0.17, and the seen/unseen analysis showed that the nodule’s mass is fully measured by the X-rays and that the prior’s unseen content correlates with the truth. The measurements themselves did not reach the goal: H1 and H2 were not supported, H4 was not supported for our method, and the intervals, although valid, were too wide to be useful. The analysis traced these failures to a prior that shrinks faint nodules, to measuring mass in image space rather than from the projections, and to failed measurements inside the calibration set. These are concrete, testable fixes rather than open questions.</w:t>
      </w:r>
    </w:p>
    <w:bookmarkEnd w:id="192"/>
    <w:bookmarkEnd w:id="193"/>
    <w:bookmarkStart w:id="213" w:name="Xe33e6638723adaf4d164c498c86f35038b40f7b"/>
    <w:p>
      <w:pPr>
        <w:pStyle w:val="Heading1"/>
      </w:pPr>
      <w:r>
        <w:t xml:space="preserve">Chapter 5: Standards and Design Constraints</w:t>
      </w:r>
    </w:p>
    <w:p>
      <w:pPr>
        <w:pStyle w:val="FirstParagraph"/>
      </w:pPr>
      <w:r>
        <w:t xml:space="preserve">This chapter lists the standards MedLift-3D follows, with the alternatives considered, and analyses its economic, environmental, ethical, health and safety, social, political, legal, cultural and sustainability aspects. It ends with the cost analysis and the complex engineering problem mapping.</w:t>
      </w:r>
    </w:p>
    <w:bookmarkStart w:id="197" w:name="compliance-with-the-standards"/>
    <w:p>
      <w:pPr>
        <w:pStyle w:val="Heading2"/>
      </w:pPr>
      <w:r>
        <w:t xml:space="preserve">5.1 Compliance with the Standards</w:t>
      </w:r>
    </w:p>
    <w:p>
      <w:pPr>
        <w:pStyle w:val="FirstParagraph"/>
      </w:pPr>
      <w:r>
        <w:t xml:space="preserve">MedLift-3D is research software intended to become medical-device software, so we followed the standards that such software must eventually meet, even where formal certification is out of scope for a student project. For each standard we state how it is applied, which alternatives were considered with their pros and cons, and why it was selected. The standards are grouped into software, hardware and communication standards.</w:t>
      </w:r>
    </w:p>
    <w:bookmarkStart w:id="194" w:name="software-standards"/>
    <w:p>
      <w:pPr>
        <w:pStyle w:val="Heading3"/>
      </w:pPr>
      <w:r>
        <w:t xml:space="preserve">5.1.1 Software Standards</w:t>
      </w:r>
    </w:p>
    <w:p>
      <w:pPr>
        <w:pStyle w:val="FirstParagraph"/>
      </w:pPr>
      <w:r>
        <w:t xml:space="preserve">The software standards cover data formats, the software life cycle, risk and quality management, code quality, numerical precision and licensing (Table 5.1). DICOM is the format in which hospitals store and exchange images, so the input path reads DICOM directly and checks its geometry; intermediate data use compressed NumPy files with JSON headers because they hold each case’s volume, masks and metadata in one self-describing file. IEC 62304 defines the life-cycle processes for medical device software; we are not certified, but we followed its core practices: every requirement is traced to a test, all code is under version control, 69 unit tests run automatically, and anomalies found during development are documented (Chapter 4). ISO 14971 risk management is applied through the hazard analysis in Table 5.4, while ISO 13485 quality management is identified as necessary for a future product. IEEE 754 arithmetic is used deliberately: physics and measurement run in 32-bit precision and only the diffusion network uses bf16, which keeps the 32-bit range and avoids the overflow that fp16 causes in 3D networks. Finally, all data and libraries are used under open licences with attribution.</w:t>
      </w:r>
    </w:p>
    <w:p>
      <w:pPr>
        <w:pStyle w:val="BodyText"/>
        <w:jc w:val="center"/>
      </w:pPr>
      <w:r>
        <w:rPr>
          <w:bCs/>
          <w:b/>
          <w:iCs/>
          <w:i/>
          <w:sz w:val="20"/>
        </w:rPr>
        <w:t xml:space="preserve">Table 5.1:</w:t>
      </w:r>
      <w:r>
        <w:rPr>
          <w:iCs/>
          <w:i/>
          <w:sz w:val="20"/>
        </w:rPr>
        <w:t xml:space="preserve"> </w:t>
      </w:r>
      <w:r>
        <w:rPr>
          <w:iCs/>
          <w:i/>
          <w:sz w:val="20"/>
        </w:rPr>
        <w:t xml:space="preserve">Software standards.</w:t>
      </w:r>
    </w:p>
    <w:tbl>
      <w:tblPr>
        <w:tblStyle w:val="Table"/>
        <w:tblW w:type="auto" w:w="0"/>
        <w:tblLook w:firstRow="1" w:lastRow="0" w:firstColumn="0" w:lastColumn="0" w:noHBand="0" w:noVBand="0" w:val="0020"/>
        <w:jc w:val="start"/>
        <w:tblBorders>
          <w:top w:val="single" w:sz="12" w:color="000000"/>
          <w:bottom w:val="single" w:sz="12" w:color="000000"/>
          <w:insideH w:val="single" w:sz="6" w:color="808080"/>
        </w:tblBorders>
      </w:tblPr>
      <w:tblGrid>
        <w:gridCol w:w="1555"/>
        <w:gridCol w:w="2592"/>
        <w:gridCol w:w="2592"/>
        <w:gridCol w:w="2289"/>
      </w:tblGrid>
      <w:tr>
        <w:trPr>
          <w:tblHeader w:val="true"/>
        </w:trPr>
        <w:tc>
          <w:tcPr>
            <w:tcW w:type="dxa" w:w="1555"/>
          </w:tcPr>
          <w:p>
            <w:pPr>
              <w:pStyle w:val="Compact"/>
              <w:spacing w:line="240" w:lineRule="auto" w:after="40"/>
              <w:jc w:val="left"/>
            </w:pPr>
            <w:r>
              <w:rPr>
                <w:b/>
                <w:sz w:val="19"/>
              </w:rPr>
              <w:t xml:space="preserve">Standard</w:t>
            </w:r>
          </w:p>
        </w:tc>
        <w:tc>
          <w:tcPr>
            <w:tcW w:type="dxa" w:w="2592"/>
          </w:tcPr>
          <w:p>
            <w:pPr>
              <w:pStyle w:val="Compact"/>
              <w:spacing w:line="240" w:lineRule="auto" w:after="40"/>
              <w:jc w:val="left"/>
            </w:pPr>
            <w:r>
              <w:rPr>
                <w:b/>
                <w:sz w:val="19"/>
              </w:rPr>
              <w:t xml:space="preserve">How it is applied</w:t>
            </w:r>
          </w:p>
        </w:tc>
        <w:tc>
          <w:tcPr>
            <w:tcW w:type="dxa" w:w="2592"/>
          </w:tcPr>
          <w:p>
            <w:pPr>
              <w:pStyle w:val="Compact"/>
              <w:spacing w:line="240" w:lineRule="auto" w:after="40"/>
              <w:jc w:val="left"/>
            </w:pPr>
            <w:r>
              <w:rPr>
                <w:b/>
                <w:sz w:val="19"/>
              </w:rPr>
              <w:t xml:space="preserve">Alternatives (pros / cons)</w:t>
            </w:r>
          </w:p>
        </w:tc>
        <w:tc>
          <w:tcPr>
            <w:tcW w:type="dxa" w:w="2290"/>
          </w:tcPr>
          <w:p>
            <w:pPr>
              <w:pStyle w:val="Compact"/>
              <w:spacing w:line="240" w:lineRule="auto" w:after="40"/>
              <w:jc w:val="left"/>
            </w:pPr>
            <w:r>
              <w:rPr>
                <w:b/>
                <w:sz w:val="19"/>
              </w:rPr>
              <w:t xml:space="preserve">Rationale</w:t>
            </w:r>
          </w:p>
        </w:tc>
      </w:tr>
      <w:tr>
        <w:tc>
          <w:tcPr>
            <w:tcW w:type="dxa" w:w="1555"/>
          </w:tcPr>
          <w:p>
            <w:pPr>
              <w:pStyle w:val="Compact"/>
              <w:spacing w:line="240" w:lineRule="auto" w:after="40"/>
              <w:jc w:val="left"/>
            </w:pPr>
            <w:r>
              <w:rPr>
                <w:sz w:val="19"/>
              </w:rPr>
              <w:t xml:space="preserve">DICOM [56]</w:t>
            </w:r>
          </w:p>
        </w:tc>
        <w:tc>
          <w:tcPr>
            <w:tcW w:type="dxa" w:w="2592"/>
          </w:tcPr>
          <w:p>
            <w:pPr>
              <w:pStyle w:val="Compact"/>
              <w:spacing w:line="240" w:lineRule="auto" w:after="40"/>
              <w:jc w:val="left"/>
            </w:pPr>
            <w:r>
              <w:rPr>
                <w:sz w:val="19"/>
              </w:rPr>
              <w:t xml:space="preserve">Input CT read from DICOM; geometry checked against pylidc (0.000 mm difference)</w:t>
            </w:r>
          </w:p>
        </w:tc>
        <w:tc>
          <w:tcPr>
            <w:tcW w:type="dxa" w:w="2592"/>
          </w:tcPr>
          <w:p>
            <w:pPr>
              <w:pStyle w:val="Compact"/>
              <w:spacing w:line="240" w:lineRule="auto" w:after="40"/>
              <w:jc w:val="left"/>
            </w:pPr>
            <w:r>
              <w:rPr>
                <w:sz w:val="19"/>
              </w:rPr>
              <w:t xml:space="preserve">NIfTI: simpler but loses scanner metadata</w:t>
            </w:r>
          </w:p>
        </w:tc>
        <w:tc>
          <w:tcPr>
            <w:tcW w:type="dxa" w:w="2290"/>
          </w:tcPr>
          <w:p>
            <w:pPr>
              <w:pStyle w:val="Compact"/>
              <w:spacing w:line="240" w:lineRule="auto" w:after="40"/>
              <w:jc w:val="left"/>
            </w:pPr>
            <w:r>
              <w:rPr>
                <w:sz w:val="19"/>
              </w:rPr>
              <w:t xml:space="preserve">Hospitals and PACS store images in DICOM</w:t>
            </w:r>
          </w:p>
        </w:tc>
      </w:tr>
      <w:tr>
        <w:tc>
          <w:tcPr>
            <w:tcW w:type="dxa" w:w="1555"/>
          </w:tcPr>
          <w:p>
            <w:pPr>
              <w:pStyle w:val="Compact"/>
              <w:spacing w:line="240" w:lineRule="auto" w:after="40"/>
              <w:jc w:val="left"/>
            </w:pPr>
            <w:r>
              <w:rPr>
                <w:sz w:val="19"/>
              </w:rPr>
              <w:t xml:space="preserve">Compressed NumPy with JSON headers</w:t>
            </w:r>
          </w:p>
        </w:tc>
        <w:tc>
          <w:tcPr>
            <w:tcW w:type="dxa" w:w="2592"/>
          </w:tcPr>
          <w:p>
            <w:pPr>
              <w:pStyle w:val="Compact"/>
              <w:spacing w:line="240" w:lineRule="auto" w:after="40"/>
              <w:jc w:val="left"/>
            </w:pPr>
            <w:r>
              <w:rPr>
                <w:sz w:val="19"/>
              </w:rPr>
              <w:t xml:space="preserve">Cases, pairs and results keep their geometry in a header</w:t>
            </w:r>
          </w:p>
        </w:tc>
        <w:tc>
          <w:tcPr>
            <w:tcW w:type="dxa" w:w="2592"/>
          </w:tcPr>
          <w:p>
            <w:pPr>
              <w:pStyle w:val="Compact"/>
              <w:spacing w:line="240" w:lineRule="auto" w:after="40"/>
              <w:jc w:val="left"/>
            </w:pPr>
            <w:r>
              <w:rPr>
                <w:sz w:val="19"/>
              </w:rPr>
              <w:t xml:space="preserve">NIfTI cannot hold per-nodule reader masks with metadata; HDF5 is a heavier dependency</w:t>
            </w:r>
          </w:p>
        </w:tc>
        <w:tc>
          <w:tcPr>
            <w:tcW w:type="dxa" w:w="2290"/>
          </w:tcPr>
          <w:p>
            <w:pPr>
              <w:pStyle w:val="Compact"/>
              <w:spacing w:line="240" w:lineRule="auto" w:after="40"/>
              <w:jc w:val="left"/>
            </w:pPr>
            <w:r>
              <w:rPr>
                <w:sz w:val="19"/>
              </w:rPr>
              <w:t xml:space="preserve">One self-describing file per case</w:t>
            </w:r>
          </w:p>
        </w:tc>
      </w:tr>
      <w:tr>
        <w:tc>
          <w:tcPr>
            <w:tcW w:type="dxa" w:w="1555"/>
          </w:tcPr>
          <w:p>
            <w:pPr>
              <w:pStyle w:val="Compact"/>
              <w:spacing w:line="240" w:lineRule="auto" w:after="40"/>
              <w:jc w:val="left"/>
            </w:pPr>
            <w:r>
              <w:rPr>
                <w:sz w:val="19"/>
              </w:rPr>
              <w:t xml:space="preserve">IEC 62304 [57] (software life cycle)</w:t>
            </w:r>
          </w:p>
        </w:tc>
        <w:tc>
          <w:tcPr>
            <w:tcW w:type="dxa" w:w="2592"/>
          </w:tcPr>
          <w:p>
            <w:pPr>
              <w:pStyle w:val="Compact"/>
              <w:spacing w:line="240" w:lineRule="auto" w:after="40"/>
              <w:jc w:val="left"/>
            </w:pPr>
            <w:r>
              <w:rPr>
                <w:sz w:val="19"/>
              </w:rPr>
              <w:t xml:space="preserve">Not certified; practices followed: requirements traced to tests (Table 4.4), version control, unit tests, documented anomalies</w:t>
            </w:r>
          </w:p>
        </w:tc>
        <w:tc>
          <w:tcPr>
            <w:tcW w:type="dxa" w:w="2592"/>
          </w:tcPr>
          <w:p>
            <w:pPr>
              <w:pStyle w:val="Compact"/>
              <w:spacing w:line="240" w:lineRule="auto" w:after="40"/>
              <w:jc w:val="left"/>
            </w:pPr>
            <w:r>
              <w:rPr>
                <w:sz w:val="19"/>
              </w:rPr>
              <w:t xml:space="preserve">Ad-hoc research code: faster but unverifiable</w:t>
            </w:r>
          </w:p>
        </w:tc>
        <w:tc>
          <w:tcPr>
            <w:tcW w:type="dxa" w:w="2290"/>
          </w:tcPr>
          <w:p>
            <w:pPr>
              <w:pStyle w:val="Compact"/>
              <w:spacing w:line="240" w:lineRule="auto" w:after="40"/>
              <w:jc w:val="left"/>
            </w:pPr>
            <w:r>
              <w:rPr>
                <w:sz w:val="19"/>
              </w:rPr>
              <w:t xml:space="preserve">Needed for any clinical use; tracing now costs little</w:t>
            </w:r>
          </w:p>
        </w:tc>
      </w:tr>
      <w:tr>
        <w:tc>
          <w:tcPr>
            <w:tcW w:type="dxa" w:w="1555"/>
          </w:tcPr>
          <w:p>
            <w:pPr>
              <w:pStyle w:val="Compact"/>
              <w:spacing w:line="240" w:lineRule="auto" w:after="40"/>
              <w:jc w:val="left"/>
            </w:pPr>
            <w:r>
              <w:rPr>
                <w:sz w:val="19"/>
              </w:rPr>
              <w:t xml:space="preserve">ISO 14971 [58] (risk management)</w:t>
            </w:r>
          </w:p>
        </w:tc>
        <w:tc>
          <w:tcPr>
            <w:tcW w:type="dxa" w:w="2592"/>
          </w:tcPr>
          <w:p>
            <w:pPr>
              <w:pStyle w:val="Compact"/>
              <w:spacing w:line="240" w:lineRule="auto" w:after="40"/>
              <w:jc w:val="left"/>
            </w:pPr>
            <w:r>
              <w:rPr>
                <w:sz w:val="19"/>
              </w:rPr>
              <w:t xml:space="preserve">Hazard analysis with mitigations (Table 5.4)</w:t>
            </w:r>
          </w:p>
        </w:tc>
        <w:tc>
          <w:tcPr>
            <w:tcW w:type="dxa" w:w="2592"/>
          </w:tcPr>
          <w:p>
            <w:pPr>
              <w:pStyle w:val="Compact"/>
              <w:spacing w:line="240" w:lineRule="auto" w:after="40"/>
              <w:jc w:val="left"/>
            </w:pPr>
            <w:r>
              <w:rPr>
                <w:sz w:val="19"/>
              </w:rPr>
              <w:t xml:space="preserve">No risk analysis</w:t>
            </w:r>
          </w:p>
        </w:tc>
        <w:tc>
          <w:tcPr>
            <w:tcW w:type="dxa" w:w="2290"/>
          </w:tcPr>
          <w:p>
            <w:pPr>
              <w:pStyle w:val="Compact"/>
              <w:spacing w:line="240" w:lineRule="auto" w:after="40"/>
              <w:jc w:val="left"/>
            </w:pPr>
            <w:r>
              <w:rPr>
                <w:sz w:val="19"/>
              </w:rPr>
              <w:t xml:space="preserve">Required by regulators</w:t>
            </w:r>
          </w:p>
        </w:tc>
      </w:tr>
      <w:tr>
        <w:tc>
          <w:tcPr>
            <w:tcW w:type="dxa" w:w="1555"/>
          </w:tcPr>
          <w:p>
            <w:pPr>
              <w:pStyle w:val="Compact"/>
              <w:spacing w:line="240" w:lineRule="auto" w:after="40"/>
              <w:jc w:val="left"/>
            </w:pPr>
            <w:r>
              <w:rPr>
                <w:sz w:val="19"/>
              </w:rPr>
              <w:t xml:space="preserve">ISO 13485 [59] (quality management)</w:t>
            </w:r>
          </w:p>
        </w:tc>
        <w:tc>
          <w:tcPr>
            <w:tcW w:type="dxa" w:w="2592"/>
          </w:tcPr>
          <w:p>
            <w:pPr>
              <w:pStyle w:val="Compact"/>
              <w:spacing w:line="240" w:lineRule="auto" w:after="40"/>
              <w:jc w:val="left"/>
            </w:pPr>
            <w:r>
              <w:rPr>
                <w:sz w:val="19"/>
              </w:rPr>
              <w:t xml:space="preserve">Identified as required for a product; out of scope here</w:t>
            </w:r>
          </w:p>
        </w:tc>
        <w:tc>
          <w:tcPr>
            <w:tcW w:type="dxa" w:w="2592"/>
          </w:tcPr>
          <w:p>
            <w:pPr>
              <w:pStyle w:val="Compact"/>
              <w:spacing w:line="240" w:lineRule="auto" w:after="40"/>
              <w:jc w:val="left"/>
            </w:pPr>
            <w:r>
              <w:rPr>
                <w:sz w:val="19"/>
              </w:rPr>
              <w:t xml:space="preserve">–</w:t>
            </w:r>
          </w:p>
        </w:tc>
        <w:tc>
          <w:tcPr>
            <w:tcW w:type="dxa" w:w="2290"/>
          </w:tcPr>
          <w:p>
            <w:pPr>
              <w:pStyle w:val="Compact"/>
              <w:spacing w:line="240" w:lineRule="auto" w:after="40"/>
              <w:jc w:val="left"/>
            </w:pPr>
            <w:r>
              <w:rPr>
                <w:sz w:val="19"/>
              </w:rPr>
              <w:t xml:space="preserve">Applies to a device manufacturer</w:t>
            </w:r>
          </w:p>
        </w:tc>
      </w:tr>
      <w:tr>
        <w:tc>
          <w:tcPr>
            <w:tcW w:type="dxa" w:w="1555"/>
          </w:tcPr>
          <w:p>
            <w:pPr>
              <w:pStyle w:val="Compact"/>
              <w:spacing w:line="240" w:lineRule="auto" w:after="40"/>
              <w:jc w:val="left"/>
            </w:pPr>
            <w:r>
              <w:rPr>
                <w:sz w:val="19"/>
              </w:rPr>
              <w:t xml:space="preserve">PEP 8, pytest</w:t>
            </w:r>
          </w:p>
        </w:tc>
        <w:tc>
          <w:tcPr>
            <w:tcW w:type="dxa" w:w="2592"/>
          </w:tcPr>
          <w:p>
            <w:pPr>
              <w:pStyle w:val="Compact"/>
              <w:spacing w:line="240" w:lineRule="auto" w:after="40"/>
              <w:jc w:val="left"/>
            </w:pPr>
            <w:r>
              <w:rPr>
                <w:sz w:val="19"/>
              </w:rPr>
              <w:t xml:space="preserve">Code style; 69 automated tests</w:t>
            </w:r>
          </w:p>
        </w:tc>
        <w:tc>
          <w:tcPr>
            <w:tcW w:type="dxa" w:w="2592"/>
          </w:tcPr>
          <w:p>
            <w:pPr>
              <w:pStyle w:val="Compact"/>
              <w:spacing w:line="240" w:lineRule="auto" w:after="40"/>
              <w:jc w:val="left"/>
            </w:pPr>
            <w:r>
              <w:rPr>
                <w:sz w:val="19"/>
              </w:rPr>
              <w:t xml:space="preserve">No tests: faster now, bugs later</w:t>
            </w:r>
          </w:p>
        </w:tc>
        <w:tc>
          <w:tcPr>
            <w:tcW w:type="dxa" w:w="2290"/>
          </w:tcPr>
          <w:p>
            <w:pPr>
              <w:pStyle w:val="Compact"/>
              <w:spacing w:line="240" w:lineRule="auto" w:after="40"/>
              <w:jc w:val="left"/>
            </w:pPr>
            <w:r>
              <w:rPr>
                <w:sz w:val="19"/>
              </w:rPr>
              <w:t xml:space="preserve">Readable and checkable team code</w:t>
            </w:r>
          </w:p>
        </w:tc>
      </w:tr>
      <w:tr>
        <w:tc>
          <w:tcPr>
            <w:tcW w:type="dxa" w:w="1555"/>
          </w:tcPr>
          <w:p>
            <w:pPr>
              <w:pStyle w:val="Compact"/>
              <w:spacing w:line="240" w:lineRule="auto" w:after="40"/>
              <w:jc w:val="left"/>
            </w:pPr>
            <w:r>
              <w:rPr>
                <w:sz w:val="19"/>
              </w:rPr>
              <w:t xml:space="preserve">IEEE 754</w:t>
            </w:r>
          </w:p>
        </w:tc>
        <w:tc>
          <w:tcPr>
            <w:tcW w:type="dxa" w:w="2592"/>
          </w:tcPr>
          <w:p>
            <w:pPr>
              <w:pStyle w:val="Compact"/>
              <w:spacing w:line="240" w:lineRule="auto" w:after="40"/>
              <w:jc w:val="left"/>
            </w:pPr>
            <w:r>
              <w:rPr>
                <w:sz w:val="19"/>
              </w:rPr>
              <w:t xml:space="preserve">fp32 for physics and measurement; bf16 only inside the network</w:t>
            </w:r>
          </w:p>
        </w:tc>
        <w:tc>
          <w:tcPr>
            <w:tcW w:type="dxa" w:w="2592"/>
          </w:tcPr>
          <w:p>
            <w:pPr>
              <w:pStyle w:val="Compact"/>
              <w:spacing w:line="240" w:lineRule="auto" w:after="40"/>
              <w:jc w:val="left"/>
            </w:pPr>
            <w:r>
              <w:rPr>
                <w:sz w:val="19"/>
              </w:rPr>
              <w:t xml:space="preserve">fp16 overflows in 3D U-Nets; fp64 doubles memory</w:t>
            </w:r>
          </w:p>
        </w:tc>
        <w:tc>
          <w:tcPr>
            <w:tcW w:type="dxa" w:w="2290"/>
          </w:tcPr>
          <w:p>
            <w:pPr>
              <w:pStyle w:val="Compact"/>
              <w:spacing w:line="240" w:lineRule="auto" w:after="40"/>
              <w:jc w:val="left"/>
            </w:pPr>
            <w:r>
              <w:rPr>
                <w:sz w:val="19"/>
              </w:rPr>
              <w:t xml:space="preserve">bf16 keeps the fp32 range</w:t>
            </w:r>
          </w:p>
        </w:tc>
      </w:tr>
      <w:tr>
        <w:tc>
          <w:tcPr>
            <w:tcW w:type="dxa" w:w="1555"/>
          </w:tcPr>
          <w:p>
            <w:pPr>
              <w:pStyle w:val="Compact"/>
              <w:spacing w:line="240" w:lineRule="auto" w:after="40"/>
              <w:jc w:val="left"/>
            </w:pPr>
            <w:r>
              <w:rPr>
                <w:sz w:val="19"/>
              </w:rPr>
              <w:t xml:space="preserve">Open licences</w:t>
            </w:r>
          </w:p>
        </w:tc>
        <w:tc>
          <w:tcPr>
            <w:tcW w:type="dxa" w:w="2592"/>
          </w:tcPr>
          <w:p>
            <w:pPr>
              <w:pStyle w:val="Compact"/>
              <w:spacing w:line="240" w:lineRule="auto" w:after="40"/>
              <w:jc w:val="left"/>
            </w:pPr>
            <w:r>
              <w:rPr>
                <w:sz w:val="19"/>
              </w:rPr>
              <w:t xml:space="preserve">LIDC-IDRI under CC BY 3.0 with citation [60]; PyTorch (BSD), crepes (BSD-3), Gradio (Apache 2.0)</w:t>
            </w:r>
          </w:p>
        </w:tc>
        <w:tc>
          <w:tcPr>
            <w:tcW w:type="dxa" w:w="2592"/>
          </w:tcPr>
          <w:p>
            <w:pPr>
              <w:pStyle w:val="Compact"/>
              <w:spacing w:line="240" w:lineRule="auto" w:after="40"/>
              <w:jc w:val="left"/>
            </w:pPr>
            <w:r>
              <w:rPr>
                <w:sz w:val="19"/>
              </w:rPr>
              <w:t xml:space="preserve">Proprietary data or libraries: costly, restrictive</w:t>
            </w:r>
          </w:p>
        </w:tc>
        <w:tc>
          <w:tcPr>
            <w:tcW w:type="dxa" w:w="2290"/>
          </w:tcPr>
          <w:p>
            <w:pPr>
              <w:pStyle w:val="Compact"/>
              <w:spacing w:line="240" w:lineRule="auto" w:after="40"/>
              <w:jc w:val="left"/>
            </w:pPr>
            <w:r>
              <w:rPr>
                <w:sz w:val="19"/>
              </w:rPr>
              <w:t xml:space="preserve">Legal reuse with attribution</w:t>
            </w:r>
          </w:p>
        </w:tc>
      </w:tr>
    </w:tbl>
    <w:bookmarkEnd w:id="194"/>
    <w:bookmarkStart w:id="195" w:name="hardware-standards"/>
    <w:p>
      <w:pPr>
        <w:pStyle w:val="Heading3"/>
      </w:pPr>
      <w:r>
        <w:t xml:space="preserve">5.1.2 Hardware Standards</w:t>
      </w:r>
    </w:p>
    <w:p>
      <w:pPr>
        <w:pStyle w:val="FirstParagraph"/>
      </w:pPr>
      <w:r>
        <w:t xml:space="preserve">MedLift-3D is software, so the hardware standards concern the computing platform and the X-ray equipment that would produce real data (Table 5.2). All GPU work uses NVIDIA’s CUDA platform through PyTorch, because CUDA GPUs are the ones offered by every cloud provider we could afford; AMD’s ROCm platform is an open alternative but is rarely available for rent. The safety of the X-ray equipment itself is governed by IEC 60601-1 and its part 2-54 for radiography; these apply to the DTS unit, not to our software, and a clinical deployment would rely on a certified unit. Radiation doses are compared as effective dose following ICRP Publication 103, the standard measure of patient risk.</w:t>
      </w:r>
    </w:p>
    <w:p>
      <w:pPr>
        <w:pStyle w:val="BodyText"/>
        <w:jc w:val="center"/>
      </w:pPr>
      <w:r>
        <w:rPr>
          <w:bCs/>
          <w:b/>
          <w:iCs/>
          <w:i/>
          <w:sz w:val="20"/>
        </w:rPr>
        <w:t xml:space="preserve">Table 5.2:</w:t>
      </w:r>
      <w:r>
        <w:rPr>
          <w:iCs/>
          <w:i/>
          <w:sz w:val="20"/>
        </w:rPr>
        <w:t xml:space="preserve"> </w:t>
      </w:r>
      <w:r>
        <w:rPr>
          <w:iCs/>
          <w:i/>
          <w:sz w:val="20"/>
        </w:rPr>
        <w:t xml:space="preserve">Hardware standards.</w:t>
      </w:r>
    </w:p>
    <w:tbl>
      <w:tblPr>
        <w:tblStyle w:val="Table"/>
        <w:tblW w:type="auto" w:w="0"/>
        <w:tblLook w:firstRow="1" w:lastRow="0" w:firstColumn="0" w:lastColumn="0" w:noHBand="0" w:noVBand="0" w:val="0020"/>
        <w:jc w:val="start"/>
        <w:tblBorders>
          <w:top w:val="single" w:sz="12" w:color="000000"/>
          <w:bottom w:val="single" w:sz="12" w:color="000000"/>
          <w:insideH w:val="single" w:sz="6" w:color="808080"/>
        </w:tblBorders>
      </w:tblPr>
      <w:tblGrid>
        <w:gridCol w:w="2179"/>
        <w:gridCol w:w="2668"/>
        <w:gridCol w:w="2668"/>
        <w:gridCol w:w="1512"/>
      </w:tblGrid>
      <w:tr>
        <w:trPr>
          <w:tblHeader w:val="true"/>
        </w:trPr>
        <w:tc>
          <w:tcPr>
            <w:tcW w:type="dxa" w:w="2179"/>
          </w:tcPr>
          <w:p>
            <w:pPr>
              <w:pStyle w:val="Compact"/>
              <w:spacing w:line="240" w:lineRule="auto" w:after="40"/>
              <w:jc w:val="left"/>
            </w:pPr>
            <w:r>
              <w:rPr>
                <w:b/>
                <w:sz w:val="19"/>
              </w:rPr>
              <w:t xml:space="preserve">Standard</w:t>
            </w:r>
          </w:p>
        </w:tc>
        <w:tc>
          <w:tcPr>
            <w:tcW w:type="dxa" w:w="2669"/>
          </w:tcPr>
          <w:p>
            <w:pPr>
              <w:pStyle w:val="Compact"/>
              <w:spacing w:line="240" w:lineRule="auto" w:after="40"/>
              <w:jc w:val="left"/>
            </w:pPr>
            <w:r>
              <w:rPr>
                <w:b/>
                <w:sz w:val="19"/>
              </w:rPr>
              <w:t xml:space="preserve">How it is applied</w:t>
            </w:r>
          </w:p>
        </w:tc>
        <w:tc>
          <w:tcPr>
            <w:tcW w:type="dxa" w:w="2669"/>
          </w:tcPr>
          <w:p>
            <w:pPr>
              <w:pStyle w:val="Compact"/>
              <w:spacing w:line="240" w:lineRule="auto" w:after="40"/>
              <w:jc w:val="left"/>
            </w:pPr>
            <w:r>
              <w:rPr>
                <w:b/>
                <w:sz w:val="19"/>
              </w:rPr>
              <w:t xml:space="preserve">Alternatives</w:t>
            </w:r>
          </w:p>
        </w:tc>
        <w:tc>
          <w:tcPr>
            <w:tcW w:type="dxa" w:w="1512"/>
          </w:tcPr>
          <w:p>
            <w:pPr>
              <w:pStyle w:val="Compact"/>
              <w:spacing w:line="240" w:lineRule="auto" w:after="40"/>
              <w:jc w:val="left"/>
            </w:pPr>
            <w:r>
              <w:rPr>
                <w:b/>
                <w:sz w:val="19"/>
              </w:rPr>
              <w:t xml:space="preserve">Rationale</w:t>
            </w:r>
          </w:p>
        </w:tc>
      </w:tr>
      <w:tr>
        <w:tc>
          <w:tcPr>
            <w:tcW w:type="dxa" w:w="2179"/>
          </w:tcPr>
          <w:p>
            <w:pPr>
              <w:pStyle w:val="Compact"/>
              <w:spacing w:line="240" w:lineRule="auto" w:after="40"/>
              <w:jc w:val="left"/>
            </w:pPr>
            <w:r>
              <w:rPr>
                <w:sz w:val="19"/>
              </w:rPr>
              <w:t xml:space="preserve">NVIDIA CUDA platform</w:t>
            </w:r>
          </w:p>
        </w:tc>
        <w:tc>
          <w:tcPr>
            <w:tcW w:type="dxa" w:w="2669"/>
          </w:tcPr>
          <w:p>
            <w:pPr>
              <w:pStyle w:val="Compact"/>
              <w:spacing w:line="240" w:lineRule="auto" w:after="40"/>
              <w:jc w:val="left"/>
            </w:pPr>
            <w:r>
              <w:rPr>
                <w:sz w:val="19"/>
              </w:rPr>
              <w:t xml:space="preserve">All GPU computation through PyTorch’s CUDA backend</w:t>
            </w:r>
          </w:p>
        </w:tc>
        <w:tc>
          <w:tcPr>
            <w:tcW w:type="dxa" w:w="2669"/>
          </w:tcPr>
          <w:p>
            <w:pPr>
              <w:pStyle w:val="Compact"/>
              <w:spacing w:line="240" w:lineRule="auto" w:after="40"/>
              <w:jc w:val="left"/>
            </w:pPr>
            <w:r>
              <w:rPr>
                <w:sz w:val="19"/>
              </w:rPr>
              <w:t xml:space="preserve">AMD ROCm: fewer cloud offers; CPU only: training would take weeks</w:t>
            </w:r>
          </w:p>
        </w:tc>
        <w:tc>
          <w:tcPr>
            <w:tcW w:type="dxa" w:w="1512"/>
          </w:tcPr>
          <w:p>
            <w:pPr>
              <w:pStyle w:val="Compact"/>
              <w:spacing w:line="240" w:lineRule="auto" w:after="40"/>
              <w:jc w:val="left"/>
            </w:pPr>
            <w:r>
              <w:rPr>
                <w:sz w:val="19"/>
              </w:rPr>
              <w:t xml:space="preserve">Widest availability on rented GPUs</w:t>
            </w:r>
          </w:p>
        </w:tc>
      </w:tr>
      <w:tr>
        <w:tc>
          <w:tcPr>
            <w:tcW w:type="dxa" w:w="2179"/>
          </w:tcPr>
          <w:p>
            <w:pPr>
              <w:pStyle w:val="Compact"/>
              <w:spacing w:line="240" w:lineRule="auto" w:after="40"/>
              <w:jc w:val="left"/>
            </w:pPr>
            <w:r>
              <w:rPr>
                <w:sz w:val="19"/>
              </w:rPr>
              <w:t xml:space="preserve">IEC 60601-1 / 60601-2-54 (X-ray equipment safety)</w:t>
            </w:r>
          </w:p>
        </w:tc>
        <w:tc>
          <w:tcPr>
            <w:tcW w:type="dxa" w:w="2669"/>
          </w:tcPr>
          <w:p>
            <w:pPr>
              <w:pStyle w:val="Compact"/>
              <w:spacing w:line="240" w:lineRule="auto" w:after="40"/>
              <w:jc w:val="left"/>
            </w:pPr>
            <w:r>
              <w:rPr>
                <w:sz w:val="19"/>
              </w:rPr>
              <w:t xml:space="preserve">Applies to the DTS unit that would produce real data, not to our software</w:t>
            </w:r>
          </w:p>
        </w:tc>
        <w:tc>
          <w:tcPr>
            <w:tcW w:type="dxa" w:w="2669"/>
          </w:tcPr>
          <w:p>
            <w:pPr>
              <w:pStyle w:val="Compact"/>
              <w:spacing w:line="240" w:lineRule="auto" w:after="40"/>
              <w:jc w:val="left"/>
            </w:pPr>
            <w:r>
              <w:rPr>
                <w:sz w:val="19"/>
              </w:rPr>
              <w:t xml:space="preserve">–</w:t>
            </w:r>
          </w:p>
        </w:tc>
        <w:tc>
          <w:tcPr>
            <w:tcW w:type="dxa" w:w="1512"/>
          </w:tcPr>
          <w:p>
            <w:pPr>
              <w:pStyle w:val="Compact"/>
              <w:spacing w:line="240" w:lineRule="auto" w:after="40"/>
              <w:jc w:val="left"/>
            </w:pPr>
            <w:r>
              <w:rPr>
                <w:sz w:val="19"/>
              </w:rPr>
              <w:t xml:space="preserve">We rely on certified DTS hardware</w:t>
            </w:r>
          </w:p>
        </w:tc>
      </w:tr>
      <w:tr>
        <w:tc>
          <w:tcPr>
            <w:tcW w:type="dxa" w:w="2179"/>
          </w:tcPr>
          <w:p>
            <w:pPr>
              <w:pStyle w:val="Compact"/>
              <w:spacing w:line="240" w:lineRule="auto" w:after="40"/>
              <w:jc w:val="left"/>
            </w:pPr>
            <w:r>
              <w:rPr>
                <w:sz w:val="19"/>
              </w:rPr>
              <w:t xml:space="preserve">ICRP 103 effective dose [61]</w:t>
            </w:r>
          </w:p>
        </w:tc>
        <w:tc>
          <w:tcPr>
            <w:tcW w:type="dxa" w:w="2669"/>
          </w:tcPr>
          <w:p>
            <w:pPr>
              <w:pStyle w:val="Compact"/>
              <w:spacing w:line="240" w:lineRule="auto" w:after="40"/>
              <w:jc w:val="left"/>
            </w:pPr>
            <w:r>
              <w:rPr>
                <w:sz w:val="19"/>
              </w:rPr>
              <w:t xml:space="preserve">Doses compared in mSv for CT, low-dose CT and DTS</w:t>
            </w:r>
          </w:p>
        </w:tc>
        <w:tc>
          <w:tcPr>
            <w:tcW w:type="dxa" w:w="2669"/>
          </w:tcPr>
          <w:p>
            <w:pPr>
              <w:pStyle w:val="Compact"/>
              <w:spacing w:line="240" w:lineRule="auto" w:after="40"/>
              <w:jc w:val="left"/>
            </w:pPr>
            <w:r>
              <w:rPr>
                <w:sz w:val="19"/>
              </w:rPr>
              <w:t xml:space="preserve">Air kerma: less meaningful for patients</w:t>
            </w:r>
          </w:p>
        </w:tc>
        <w:tc>
          <w:tcPr>
            <w:tcW w:type="dxa" w:w="1512"/>
          </w:tcPr>
          <w:p>
            <w:pPr>
              <w:pStyle w:val="Compact"/>
              <w:spacing w:line="240" w:lineRule="auto" w:after="40"/>
              <w:jc w:val="left"/>
            </w:pPr>
            <w:r>
              <w:rPr>
                <w:sz w:val="19"/>
              </w:rPr>
              <w:t xml:space="preserve">Standard measure of patient risk</w:t>
            </w:r>
          </w:p>
        </w:tc>
      </w:tr>
    </w:tbl>
    <w:bookmarkEnd w:id="195"/>
    <w:bookmarkStart w:id="196" w:name="communication-standards"/>
    <w:p>
      <w:pPr>
        <w:pStyle w:val="Heading3"/>
      </w:pPr>
      <w:r>
        <w:t xml:space="preserve">5.1.3 Communication Standards</w:t>
      </w:r>
    </w:p>
    <w:p>
      <w:pPr>
        <w:pStyle w:val="FirstParagraph"/>
      </w:pPr>
      <w:r>
        <w:t xml:space="preserve">The communication standards concern how the application is reached and how results are exchanged (Table 5.3). The application runs as a web server and is reached over HTTP locally and over an encrypted HTTPS tunnel from outside, so any modern browser can use it without installing software; the usual Gradio share link failed on Kaggle, and SSH port forwarding would require setup on the client. Reports, results and calibration files are written as JSON, which is human-readable and language-neutral, unlike Python pickle files, which are unsafe to load from untrusted sources. Integration with hospital systems would use DICOM networking for images and HL7 FHIR for reports, the standards used by picture archiving and electronic record systems.</w:t>
      </w:r>
    </w:p>
    <w:p>
      <w:pPr>
        <w:pStyle w:val="BodyText"/>
        <w:jc w:val="center"/>
      </w:pPr>
      <w:r>
        <w:rPr>
          <w:bCs/>
          <w:b/>
          <w:iCs/>
          <w:i/>
          <w:sz w:val="20"/>
        </w:rPr>
        <w:t xml:space="preserve">Table 5.3:</w:t>
      </w:r>
      <w:r>
        <w:rPr>
          <w:iCs/>
          <w:i/>
          <w:sz w:val="20"/>
        </w:rPr>
        <w:t xml:space="preserve"> </w:t>
      </w:r>
      <w:r>
        <w:rPr>
          <w:iCs/>
          <w:i/>
          <w:sz w:val="20"/>
        </w:rPr>
        <w:t xml:space="preserve">Communication standards.</w:t>
      </w:r>
    </w:p>
    <w:tbl>
      <w:tblPr>
        <w:tblStyle w:val="Table"/>
        <w:tblW w:type="auto" w:w="0"/>
        <w:tblLook w:firstRow="1" w:lastRow="0" w:firstColumn="0" w:lastColumn="0" w:noHBand="0" w:noVBand="0" w:val="0020"/>
        <w:jc w:val="start"/>
        <w:tblBorders>
          <w:top w:val="single" w:sz="12" w:color="000000"/>
          <w:bottom w:val="single" w:sz="12" w:color="000000"/>
          <w:insideH w:val="single" w:sz="6" w:color="808080"/>
        </w:tblBorders>
      </w:tblPr>
      <w:tblGrid>
        <w:gridCol w:w="1311"/>
        <w:gridCol w:w="3026"/>
        <w:gridCol w:w="3026"/>
        <w:gridCol w:w="1664"/>
      </w:tblGrid>
      <w:tr>
        <w:trPr>
          <w:tblHeader w:val="true"/>
        </w:trPr>
        <w:tc>
          <w:tcPr>
            <w:tcW w:type="dxa" w:w="1311"/>
          </w:tcPr>
          <w:p>
            <w:pPr>
              <w:pStyle w:val="Compact"/>
              <w:spacing w:line="240" w:lineRule="auto" w:after="40"/>
              <w:jc w:val="left"/>
            </w:pPr>
            <w:r>
              <w:rPr>
                <w:b/>
                <w:sz w:val="19"/>
              </w:rPr>
              <w:t xml:space="preserve">Standard</w:t>
            </w:r>
          </w:p>
        </w:tc>
        <w:tc>
          <w:tcPr>
            <w:tcW w:type="dxa" w:w="3026"/>
          </w:tcPr>
          <w:p>
            <w:pPr>
              <w:pStyle w:val="Compact"/>
              <w:spacing w:line="240" w:lineRule="auto" w:after="40"/>
              <w:jc w:val="left"/>
            </w:pPr>
            <w:r>
              <w:rPr>
                <w:b/>
                <w:sz w:val="19"/>
              </w:rPr>
              <w:t xml:space="preserve">How it is applied</w:t>
            </w:r>
          </w:p>
        </w:tc>
        <w:tc>
          <w:tcPr>
            <w:tcW w:type="dxa" w:w="3026"/>
          </w:tcPr>
          <w:p>
            <w:pPr>
              <w:pStyle w:val="Compact"/>
              <w:spacing w:line="240" w:lineRule="auto" w:after="40"/>
              <w:jc w:val="left"/>
            </w:pPr>
            <w:r>
              <w:rPr>
                <w:b/>
                <w:sz w:val="19"/>
              </w:rPr>
              <w:t xml:space="preserve">Alternatives</w:t>
            </w:r>
          </w:p>
        </w:tc>
        <w:tc>
          <w:tcPr>
            <w:tcW w:type="dxa" w:w="1665"/>
          </w:tcPr>
          <w:p>
            <w:pPr>
              <w:pStyle w:val="Compact"/>
              <w:spacing w:line="240" w:lineRule="auto" w:after="40"/>
              <w:jc w:val="left"/>
            </w:pPr>
            <w:r>
              <w:rPr>
                <w:b/>
                <w:sz w:val="19"/>
              </w:rPr>
              <w:t xml:space="preserve">Rationale</w:t>
            </w:r>
          </w:p>
        </w:tc>
      </w:tr>
      <w:tr>
        <w:tc>
          <w:tcPr>
            <w:tcW w:type="dxa" w:w="1311"/>
          </w:tcPr>
          <w:p>
            <w:pPr>
              <w:pStyle w:val="Compact"/>
              <w:spacing w:line="240" w:lineRule="auto" w:after="40"/>
              <w:jc w:val="left"/>
            </w:pPr>
            <w:r>
              <w:rPr>
                <w:sz w:val="19"/>
              </w:rPr>
              <w:t xml:space="preserve">HTTP/HTTPS with TLS</w:t>
            </w:r>
          </w:p>
        </w:tc>
        <w:tc>
          <w:tcPr>
            <w:tcW w:type="dxa" w:w="3026"/>
          </w:tcPr>
          <w:p>
            <w:pPr>
              <w:pStyle w:val="Compact"/>
              <w:spacing w:line="240" w:lineRule="auto" w:after="40"/>
              <w:jc w:val="left"/>
            </w:pPr>
            <w:r>
              <w:rPr>
                <w:sz w:val="19"/>
              </w:rPr>
              <w:t xml:space="preserve">Application served locally over HTTP and to the browser through an HTTPS tunnel</w:t>
            </w:r>
          </w:p>
        </w:tc>
        <w:tc>
          <w:tcPr>
            <w:tcW w:type="dxa" w:w="3026"/>
          </w:tcPr>
          <w:p>
            <w:pPr>
              <w:pStyle w:val="Compact"/>
              <w:spacing w:line="240" w:lineRule="auto" w:after="40"/>
              <w:jc w:val="left"/>
            </w:pPr>
            <w:r>
              <w:rPr>
                <w:sz w:val="19"/>
              </w:rPr>
              <w:t xml:space="preserve">Gradio share links (failed on Kaggle); SSH port forwarding (client setup)</w:t>
            </w:r>
          </w:p>
        </w:tc>
        <w:tc>
          <w:tcPr>
            <w:tcW w:type="dxa" w:w="1665"/>
          </w:tcPr>
          <w:p>
            <w:pPr>
              <w:pStyle w:val="Compact"/>
              <w:spacing w:line="240" w:lineRule="auto" w:after="40"/>
              <w:jc w:val="left"/>
            </w:pPr>
            <w:r>
              <w:rPr>
                <w:sz w:val="19"/>
              </w:rPr>
              <w:t xml:space="preserve">Encrypted; works from any browser</w:t>
            </w:r>
          </w:p>
        </w:tc>
      </w:tr>
      <w:tr>
        <w:tc>
          <w:tcPr>
            <w:tcW w:type="dxa" w:w="1311"/>
          </w:tcPr>
          <w:p>
            <w:pPr>
              <w:pStyle w:val="Compact"/>
              <w:spacing w:line="240" w:lineRule="auto" w:after="40"/>
              <w:jc w:val="left"/>
            </w:pPr>
            <w:r>
              <w:rPr>
                <w:sz w:val="19"/>
              </w:rPr>
              <w:t xml:space="preserve">JSON (RFC 8259)</w:t>
            </w:r>
          </w:p>
        </w:tc>
        <w:tc>
          <w:tcPr>
            <w:tcW w:type="dxa" w:w="3026"/>
          </w:tcPr>
          <w:p>
            <w:pPr>
              <w:pStyle w:val="Compact"/>
              <w:spacing w:line="240" w:lineRule="auto" w:after="40"/>
              <w:jc w:val="left"/>
            </w:pPr>
            <w:r>
              <w:rPr>
                <w:sz w:val="19"/>
              </w:rPr>
              <w:t xml:space="preserve">Reports, results and calibration files</w:t>
            </w:r>
          </w:p>
        </w:tc>
        <w:tc>
          <w:tcPr>
            <w:tcW w:type="dxa" w:w="3026"/>
          </w:tcPr>
          <w:p>
            <w:pPr>
              <w:pStyle w:val="Compact"/>
              <w:spacing w:line="240" w:lineRule="auto" w:after="40"/>
              <w:jc w:val="left"/>
            </w:pPr>
            <w:r>
              <w:rPr>
                <w:sz w:val="19"/>
              </w:rPr>
              <w:t xml:space="preserve">XML: verbose; pickle: unsafe to load</w:t>
            </w:r>
          </w:p>
        </w:tc>
        <w:tc>
          <w:tcPr>
            <w:tcW w:type="dxa" w:w="1665"/>
          </w:tcPr>
          <w:p>
            <w:pPr>
              <w:pStyle w:val="Compact"/>
              <w:spacing w:line="240" w:lineRule="auto" w:after="40"/>
              <w:jc w:val="left"/>
            </w:pPr>
            <w:r>
              <w:rPr>
                <w:sz w:val="19"/>
              </w:rPr>
              <w:t xml:space="preserve">Human-readable, language-neutral</w:t>
            </w:r>
          </w:p>
        </w:tc>
      </w:tr>
      <w:tr>
        <w:tc>
          <w:tcPr>
            <w:tcW w:type="dxa" w:w="1311"/>
          </w:tcPr>
          <w:p>
            <w:pPr>
              <w:pStyle w:val="Compact"/>
              <w:spacing w:line="240" w:lineRule="auto" w:after="40"/>
              <w:jc w:val="left"/>
            </w:pPr>
            <w:r>
              <w:rPr>
                <w:sz w:val="19"/>
              </w:rPr>
              <w:t xml:space="preserve">DICOM networking, HL7 FHIR</w:t>
            </w:r>
          </w:p>
        </w:tc>
        <w:tc>
          <w:tcPr>
            <w:tcW w:type="dxa" w:w="3026"/>
          </w:tcPr>
          <w:p>
            <w:pPr>
              <w:pStyle w:val="Compact"/>
              <w:spacing w:line="240" w:lineRule="auto" w:after="40"/>
              <w:jc w:val="left"/>
            </w:pPr>
            <w:r>
              <w:rPr>
                <w:sz w:val="19"/>
              </w:rPr>
              <w:t xml:space="preserve">Future integration with hospital PACS and records</w:t>
            </w:r>
          </w:p>
        </w:tc>
        <w:tc>
          <w:tcPr>
            <w:tcW w:type="dxa" w:w="3026"/>
          </w:tcPr>
          <w:p>
            <w:pPr>
              <w:pStyle w:val="Compact"/>
              <w:spacing w:line="240" w:lineRule="auto" w:after="40"/>
              <w:jc w:val="left"/>
            </w:pPr>
            <w:r>
              <w:rPr>
                <w:sz w:val="19"/>
              </w:rPr>
              <w:t xml:space="preserve">Custom APIs: no interoperability</w:t>
            </w:r>
          </w:p>
        </w:tc>
        <w:tc>
          <w:tcPr>
            <w:tcW w:type="dxa" w:w="1665"/>
          </w:tcPr>
          <w:p>
            <w:pPr>
              <w:pStyle w:val="Compact"/>
              <w:spacing w:line="240" w:lineRule="auto" w:after="40"/>
              <w:jc w:val="left"/>
            </w:pPr>
            <w:r>
              <w:rPr>
                <w:sz w:val="19"/>
              </w:rPr>
              <w:t xml:space="preserve">Required in hospital workflows</w:t>
            </w:r>
          </w:p>
        </w:tc>
      </w:tr>
    </w:tbl>
    <w:bookmarkEnd w:id="196"/>
    <w:bookmarkEnd w:id="197"/>
    <w:bookmarkStart w:id="207" w:name="design-constraints"/>
    <w:p>
      <w:pPr>
        <w:pStyle w:val="Heading2"/>
      </w:pPr>
      <w:r>
        <w:t xml:space="preserve">5.2 Design Constraints</w:t>
      </w:r>
    </w:p>
    <w:p>
      <w:pPr>
        <w:pStyle w:val="FirstParagraph"/>
      </w:pPr>
      <w:r>
        <w:t xml:space="preserve">The design was shaped by economic, environmental, ethical, health and safety, social, political, sustainability, legal and cultural constraints. Each is discussed below together with its effect on the design and the measures taken.</w:t>
      </w:r>
    </w:p>
    <w:bookmarkStart w:id="198" w:name="economic-constraint"/>
    <w:p>
      <w:pPr>
        <w:pStyle w:val="Heading3"/>
      </w:pPr>
      <w:r>
        <w:t xml:space="preserve">5.2.1 Economic Constraint</w:t>
      </w:r>
    </w:p>
    <w:p>
      <w:pPr>
        <w:pStyle w:val="FirstParagraph"/>
      </w:pPr>
      <w:r>
        <w:t xml:space="preserve">The project had no external funding, so all computation had to fit a student budget. Free resources were used wherever possible (laptop CPU, Kaggle GPUs for the pilot and the application), CPU-only steps (3–5 hours of download and case building) were moved to a cheap CPU machine, and GPU training was given a fixed 6-hour budget. The full study cost about US$20 on the GPU and under US$2 on the CPU machine. Clinically, the economic case rests on DTS: a DTS-capable radiography room costs a fraction of a CT scanner and examines patients faster, so follow-up by DTS can lower the cost of each follow-up for hospitals and patients.</w:t>
      </w:r>
    </w:p>
    <w:bookmarkEnd w:id="198"/>
    <w:bookmarkStart w:id="199" w:name="environmental-constraint"/>
    <w:p>
      <w:pPr>
        <w:pStyle w:val="Heading3"/>
      </w:pPr>
      <w:r>
        <w:t xml:space="preserve">5.2.2 Environmental Constraint</w:t>
      </w:r>
    </w:p>
    <w:p>
      <w:pPr>
        <w:pStyle w:val="FirstParagraph"/>
      </w:pPr>
      <w:r>
        <w:rPr>
          <w:bCs/>
          <w:b/>
        </w:rPr>
        <w:t xml:space="preserve">Energy and emissions.</w:t>
      </w:r>
      <w:r>
        <w:t xml:space="preserve"> </w:t>
      </w:r>
      <w:r>
        <w:t xml:space="preserve">The L40S GPU has a 350 W power limit, so the 15-hour run used at most about 5.3 kWh on the GPU, roughly 7.5 kWh including CPU, memory and cooling, plus under 1 kWh for the CPU machine. At a world-average grid intensity of about 0.48 kg CO</w:t>
      </w:r>
      <m:oMath>
        <m:sSub>
          <m:e>
            <m:r>
              <m:t>​</m:t>
            </m:r>
          </m:e>
          <m:sub>
            <m:r>
              <m:t>2</m:t>
            </m:r>
          </m:sub>
        </m:sSub>
      </m:oMath>
      <w:r>
        <w:t xml:space="preserve"> </w:t>
      </w:r>
      <w:r>
        <w:t xml:space="preserve">per kWh (Bangladesh’s grid is higher, about 0.6), the study emitted roughly 4–5.5 kg CO</w:t>
      </w:r>
      <m:oMath>
        <m:sSub>
          <m:e>
            <m:r>
              <m:t>​</m:t>
            </m:r>
          </m:e>
          <m:sub>
            <m:r>
              <m:t>2</m:t>
            </m:r>
          </m:sub>
        </m:sSub>
      </m:oMath>
      <w:r>
        <w:t xml:space="preserve">, comparable to a 25–35 km car trip. One measurement (about 45 s on the GPU) uses about 0.004 kWh. These are estimates from rated power, following [62], not metered values.</w:t>
      </w:r>
    </w:p>
    <w:p>
      <w:pPr>
        <w:pStyle w:val="BodyText"/>
      </w:pPr>
      <w:r>
        <w:rPr>
          <w:bCs/>
          <w:b/>
        </w:rPr>
        <w:t xml:space="preserve">Data storage and waste.</w:t>
      </w:r>
      <w:r>
        <w:t xml:space="preserve"> </w:t>
      </w:r>
      <w:r>
        <w:t xml:space="preserve">The 64 GB of downloaded DICOM was deleted after conversion to compact cases, and intermediate files that can be regenerated were not backed up. No hardware was bought, so the project produced no electronic waste.</w:t>
      </w:r>
    </w:p>
    <w:p>
      <w:pPr>
        <w:pStyle w:val="BodyText"/>
      </w:pPr>
      <w:r>
        <w:rPr>
          <w:bCs/>
          <w:b/>
        </w:rPr>
        <w:t xml:space="preserve">Radiation as an environmental factor.</w:t>
      </w:r>
      <w:r>
        <w:t xml:space="preserve"> </w:t>
      </w:r>
      <w:r>
        <w:t xml:space="preserve">Replacing CT follow-ups (about 1.5–6 mSv) with DTS (about 0.1 mSv) reduces the population’s collective radiation dose.</w:t>
      </w:r>
    </w:p>
    <w:p>
      <w:pPr>
        <w:pStyle w:val="BodyText"/>
      </w:pPr>
      <w:r>
        <w:rPr>
          <w:bCs/>
          <w:b/>
        </w:rPr>
        <w:t xml:space="preserve">Mitigations.</w:t>
      </w:r>
      <w:r>
        <w:t xml:space="preserve"> </w:t>
      </w:r>
      <w:r>
        <w:t xml:space="preserve">A small model (17.4 M parameters) instead of a large generator; a prism instead of whole-volume generation; fixed compute budgets; CPU work on CPU machines; trained models reused for evaluation and the application instead of retraining; and, for future runs, cloud regions powered by renewable energy.</w:t>
      </w:r>
    </w:p>
    <w:bookmarkEnd w:id="199"/>
    <w:bookmarkStart w:id="200" w:name="ethical-constraint"/>
    <w:p>
      <w:pPr>
        <w:pStyle w:val="Heading3"/>
      </w:pPr>
      <w:r>
        <w:t xml:space="preserve">5.2.3 Ethical Constraint</w:t>
      </w:r>
    </w:p>
    <w:p>
      <w:pPr>
        <w:pStyle w:val="FirstParagraph"/>
      </w:pPr>
      <w:r>
        <w:rPr>
          <w:bCs/>
          <w:b/>
        </w:rPr>
        <w:t xml:space="preserve">Professional ethics.</w:t>
      </w:r>
      <w:r>
        <w:t xml:space="preserve"> </w:t>
      </w:r>
      <w:r>
        <w:t xml:space="preserve">We followed the IEEE [63] and ACM [64] codes of ethics, in particular honesty about claims and results.</w:t>
      </w:r>
    </w:p>
    <w:p>
      <w:pPr>
        <w:numPr>
          <w:ilvl w:val="0"/>
          <w:numId w:val="1005"/>
        </w:numPr>
      </w:pPr>
      <w:r>
        <w:rPr>
          <w:bCs/>
          <w:b/>
        </w:rPr>
        <w:t xml:space="preserve">Honest claims:</w:t>
      </w:r>
      <w:r>
        <w:t xml:space="preserve"> </w:t>
      </w:r>
      <w:r>
        <w:t xml:space="preserve">all results come from</w:t>
      </w:r>
      <w:r>
        <w:t xml:space="preserve"> </w:t>
      </w:r>
      <w:r>
        <w:rPr>
          <w:iCs/>
          <w:i/>
        </w:rPr>
        <w:t xml:space="preserve">simulated</w:t>
      </w:r>
      <w:r>
        <w:t xml:space="preserve"> </w:t>
      </w:r>
      <w:r>
        <w:t xml:space="preserve">DTS, not real scanners, and Section 2.3 lists what we do not claim.</w:t>
      </w:r>
    </w:p>
    <w:p>
      <w:pPr>
        <w:numPr>
          <w:ilvl w:val="0"/>
          <w:numId w:val="1005"/>
        </w:numPr>
      </w:pPr>
      <w:r>
        <w:rPr>
          <w:bCs/>
          <w:b/>
        </w:rPr>
        <w:t xml:space="preserve">Honest results:</w:t>
      </w:r>
      <w:r>
        <w:t xml:space="preserve"> </w:t>
      </w:r>
      <w:r>
        <w:t xml:space="preserve">hypotheses were stated before the results, and the report gives whichever outcome we found, including that H1 and H2 were not supported, that the intervals were too wide to be useful, that the detector sensitivity is only 35% at two false positives per scan, and the failed checks in Chapter 4.</w:t>
      </w:r>
    </w:p>
    <w:p>
      <w:pPr>
        <w:numPr>
          <w:ilvl w:val="0"/>
          <w:numId w:val="1005"/>
        </w:numPr>
      </w:pPr>
      <w:r>
        <w:rPr>
          <w:bCs/>
          <w:b/>
        </w:rPr>
        <w:t xml:space="preserve">Credit:</w:t>
      </w:r>
      <w:r>
        <w:t xml:space="preserve"> </w:t>
      </w:r>
      <w:r>
        <w:t xml:space="preserve">all datasets, libraries and ideas we build on are cited, including the data citations required by TCIA.</w:t>
      </w:r>
    </w:p>
    <w:p>
      <w:pPr>
        <w:numPr>
          <w:ilvl w:val="0"/>
          <w:numId w:val="1005"/>
        </w:numPr>
      </w:pPr>
      <w:r>
        <w:rPr>
          <w:bCs/>
          <w:b/>
        </w:rPr>
        <w:t xml:space="preserve">Fairness:</w:t>
      </w:r>
      <w:r>
        <w:t xml:space="preserve"> </w:t>
      </w:r>
      <w:r>
        <w:t xml:space="preserve">LIDC-IDRI comes mainly from US patients; performance on other populations, for example patients with healed tuberculosis scars, is unknown and is stated as such.</w:t>
      </w:r>
    </w:p>
    <w:p>
      <w:pPr>
        <w:numPr>
          <w:ilvl w:val="0"/>
          <w:numId w:val="1005"/>
        </w:numPr>
      </w:pPr>
      <w:r>
        <w:rPr>
          <w:bCs/>
          <w:b/>
        </w:rPr>
        <w:t xml:space="preserve">Data ethics:</w:t>
      </w:r>
      <w:r>
        <w:t xml:space="preserve"> </w:t>
      </w:r>
      <w:r>
        <w:t xml:space="preserve">only de-identified public data, used under its licence, with no attempt at re-identification.</w:t>
      </w:r>
    </w:p>
    <w:p>
      <w:pPr>
        <w:pStyle w:val="FirstParagraph"/>
      </w:pPr>
      <w:r>
        <w:rPr>
          <w:bCs/>
          <w:b/>
        </w:rPr>
        <w:t xml:space="preserve">Professional responsibility.</w:t>
      </w:r>
      <w:r>
        <w:t xml:space="preserve"> </w:t>
      </w:r>
      <w:r>
        <w:t xml:space="preserve">The team owns its decisions and mistakes. When the real-data pilot showed that the prism lost a third of its attenuation, we traced the cause to our own missing depth support and fixed it before the full run; when the first design of the project could not be verified, we narrowed it rather than present training losses as success. Each step’s owner (Table 3.7) is accountable for its checks. The system is decision support: the responsibility for a diagnosis stays with the radiologist.</w:t>
      </w:r>
    </w:p>
    <w:bookmarkEnd w:id="200"/>
    <w:bookmarkStart w:id="201" w:name="health-and-safety-constraint"/>
    <w:p>
      <w:pPr>
        <w:pStyle w:val="Heading3"/>
      </w:pPr>
      <w:r>
        <w:t xml:space="preserve">5.2.4 Health and Safety Constraint</w:t>
      </w:r>
    </w:p>
    <w:p>
      <w:pPr>
        <w:pStyle w:val="FirstParagraph"/>
      </w:pPr>
      <w:r>
        <w:rPr>
          <w:bCs/>
          <w:b/>
        </w:rPr>
        <w:t xml:space="preserve">Health impacts.</w:t>
      </w:r>
      <w:r>
        <w:t xml:space="preserve"> </w:t>
      </w:r>
      <w:r>
        <w:rPr>
          <w:iCs/>
          <w:i/>
        </w:rPr>
        <w:t xml:space="preserve">Physical:</w:t>
      </w:r>
      <w:r>
        <w:t xml:space="preserve"> </w:t>
      </w:r>
      <w:r>
        <w:t xml:space="preserve">the main benefit is lower radiation per follow-up (DTS about 0.1 mSv vs about 1.5 mSv for low-dose CT or several mSv for diagnostic CT), which matters because nodule follow-up repeats over years [6, 15]. The main physical risk is a wrong measurement that delays treatment of a growing cancer or leads to an unnecessary biopsy.</w:t>
      </w:r>
      <w:r>
        <w:t xml:space="preserve"> </w:t>
      </w:r>
      <w:r>
        <w:rPr>
          <w:iCs/>
          <w:i/>
        </w:rPr>
        <w:t xml:space="preserve">Mental:</w:t>
      </w:r>
      <w:r>
        <w:t xml:space="preserve"> </w:t>
      </w:r>
      <w:r>
        <w:t xml:space="preserve">living with an indeterminate nodule causes anxiety, and a falsely reassuring or falsely alarming number makes it worse.</w:t>
      </w:r>
    </w:p>
    <w:p>
      <w:pPr>
        <w:pStyle w:val="BodyText"/>
      </w:pPr>
      <w:r>
        <w:rPr>
          <w:bCs/>
          <w:b/>
        </w:rPr>
        <w:t xml:space="preserve">Actionable solutions.</w:t>
      </w:r>
      <w:r>
        <w:t xml:space="preserve"> </w:t>
      </w:r>
      <w:r>
        <w:t xml:space="preserve">Every number is reported with a calibrated interval and category probabilities so that the clinician sees when a result is uncertain; a low-confidence flag recommends CT; and results should be explained to patients by the clinician in categories rather than raw numbers. Table 5.4 lists the main hazards.</w:t>
      </w:r>
    </w:p>
    <w:p>
      <w:pPr>
        <w:pStyle w:val="BodyText"/>
        <w:jc w:val="center"/>
      </w:pPr>
      <w:r>
        <w:rPr>
          <w:bCs/>
          <w:b/>
          <w:iCs/>
          <w:i/>
          <w:sz w:val="20"/>
        </w:rPr>
        <w:t xml:space="preserve">Table 5.4:</w:t>
      </w:r>
      <w:r>
        <w:rPr>
          <w:iCs/>
          <w:i/>
          <w:sz w:val="20"/>
        </w:rPr>
        <w:t xml:space="preserve"> </w:t>
      </w:r>
      <w:r>
        <w:rPr>
          <w:iCs/>
          <w:i/>
          <w:sz w:val="20"/>
        </w:rPr>
        <w:t xml:space="preserve">Safety risk analysis (ISO 14971 style).</w:t>
      </w:r>
    </w:p>
    <w:tbl>
      <w:tblPr>
        <w:tblStyle w:val="Table"/>
        <w:tblW w:type="auto" w:w="0"/>
        <w:tblLook w:firstRow="1" w:lastRow="0" w:firstColumn="0" w:lastColumn="0" w:noHBand="0" w:noVBand="0" w:val="0020"/>
        <w:jc w:val="start"/>
        <w:tblBorders>
          <w:top w:val="single" w:sz="12" w:color="000000"/>
          <w:bottom w:val="single" w:sz="12" w:color="000000"/>
          <w:insideH w:val="single" w:sz="6" w:color="808080"/>
        </w:tblBorders>
      </w:tblPr>
      <w:tblGrid>
        <w:gridCol w:w="1812"/>
        <w:gridCol w:w="2206"/>
        <w:gridCol w:w="1431"/>
        <w:gridCol w:w="3578"/>
      </w:tblGrid>
      <w:tr>
        <w:trPr>
          <w:tblHeader w:val="true"/>
        </w:trPr>
        <w:tc>
          <w:tcPr>
            <w:tcW w:type="dxa" w:w="1813"/>
          </w:tcPr>
          <w:p>
            <w:pPr>
              <w:pStyle w:val="Compact"/>
              <w:spacing w:line="240" w:lineRule="auto" w:after="40"/>
              <w:jc w:val="left"/>
            </w:pPr>
            <w:r>
              <w:rPr>
                <w:b/>
                <w:sz w:val="19"/>
              </w:rPr>
              <w:t xml:space="preserve">Hazard</w:t>
            </w:r>
          </w:p>
        </w:tc>
        <w:tc>
          <w:tcPr>
            <w:tcW w:type="dxa" w:w="2207"/>
          </w:tcPr>
          <w:p>
            <w:pPr>
              <w:pStyle w:val="Compact"/>
              <w:spacing w:line="240" w:lineRule="auto" w:after="40"/>
              <w:jc w:val="left"/>
            </w:pPr>
            <w:r>
              <w:rPr>
                <w:b/>
                <w:sz w:val="19"/>
              </w:rPr>
              <w:t xml:space="preserve">Cause</w:t>
            </w:r>
          </w:p>
        </w:tc>
        <w:tc>
          <w:tcPr>
            <w:tcW w:type="dxa" w:w="1431"/>
          </w:tcPr>
          <w:p>
            <w:pPr>
              <w:pStyle w:val="Compact"/>
              <w:spacing w:line="240" w:lineRule="auto" w:after="40"/>
              <w:jc w:val="left"/>
            </w:pPr>
            <w:r>
              <w:rPr>
                <w:b/>
                <w:sz w:val="19"/>
              </w:rPr>
              <w:t xml:space="preserve">Effect</w:t>
            </w:r>
          </w:p>
        </w:tc>
        <w:tc>
          <w:tcPr>
            <w:tcW w:type="dxa" w:w="3578"/>
          </w:tcPr>
          <w:p>
            <w:pPr>
              <w:pStyle w:val="Compact"/>
              <w:spacing w:line="240" w:lineRule="auto" w:after="40"/>
              <w:jc w:val="left"/>
            </w:pPr>
            <w:r>
              <w:rPr>
                <w:b/>
                <w:sz w:val="19"/>
              </w:rPr>
              <w:t xml:space="preserve">Mitigation</w:t>
            </w:r>
          </w:p>
        </w:tc>
      </w:tr>
      <w:tr>
        <w:tc>
          <w:tcPr>
            <w:tcW w:type="dxa" w:w="1813"/>
          </w:tcPr>
          <w:p>
            <w:pPr>
              <w:pStyle w:val="Compact"/>
              <w:spacing w:line="240" w:lineRule="auto" w:after="40"/>
              <w:jc w:val="left"/>
            </w:pPr>
            <w:r>
              <w:rPr>
                <w:sz w:val="19"/>
              </w:rPr>
              <w:t xml:space="preserve">Underestimated growth</w:t>
            </w:r>
          </w:p>
        </w:tc>
        <w:tc>
          <w:tcPr>
            <w:tcW w:type="dxa" w:w="2207"/>
          </w:tcPr>
          <w:p>
            <w:pPr>
              <w:pStyle w:val="Compact"/>
              <w:spacing w:line="240" w:lineRule="auto" w:after="40"/>
              <w:jc w:val="left"/>
            </w:pPr>
            <w:r>
              <w:rPr>
                <w:sz w:val="19"/>
              </w:rPr>
              <w:t xml:space="preserve">Prior fills depth wrongly</w:t>
            </w:r>
          </w:p>
        </w:tc>
        <w:tc>
          <w:tcPr>
            <w:tcW w:type="dxa" w:w="1431"/>
          </w:tcPr>
          <w:p>
            <w:pPr>
              <w:pStyle w:val="Compact"/>
              <w:spacing w:line="240" w:lineRule="auto" w:after="40"/>
              <w:jc w:val="left"/>
            </w:pPr>
            <w:r>
              <w:rPr>
                <w:sz w:val="19"/>
              </w:rPr>
              <w:t xml:space="preserve">Delayed treatment</w:t>
            </w:r>
          </w:p>
        </w:tc>
        <w:tc>
          <w:tcPr>
            <w:tcW w:type="dxa" w:w="3578"/>
          </w:tcPr>
          <w:p>
            <w:pPr>
              <w:pStyle w:val="Compact"/>
              <w:spacing w:line="240" w:lineRule="auto" w:after="40"/>
              <w:jc w:val="left"/>
            </w:pPr>
            <w:r>
              <w:rPr>
                <w:sz w:val="19"/>
              </w:rPr>
              <w:t xml:space="preserve">Mass-first reporting; intervals; seen/unseen explanation; CT recommended when flagged</w:t>
            </w:r>
          </w:p>
        </w:tc>
      </w:tr>
      <w:tr>
        <w:tc>
          <w:tcPr>
            <w:tcW w:type="dxa" w:w="1813"/>
          </w:tcPr>
          <w:p>
            <w:pPr>
              <w:pStyle w:val="Compact"/>
              <w:spacing w:line="240" w:lineRule="auto" w:after="40"/>
              <w:jc w:val="left"/>
            </w:pPr>
            <w:r>
              <w:rPr>
                <w:sz w:val="19"/>
              </w:rPr>
              <w:t xml:space="preserve">Overestimated growth</w:t>
            </w:r>
          </w:p>
        </w:tc>
        <w:tc>
          <w:tcPr>
            <w:tcW w:type="dxa" w:w="2207"/>
          </w:tcPr>
          <w:p>
            <w:pPr>
              <w:pStyle w:val="Compact"/>
              <w:spacing w:line="240" w:lineRule="auto" w:after="40"/>
              <w:jc w:val="left"/>
            </w:pPr>
            <w:r>
              <w:rPr>
                <w:sz w:val="19"/>
              </w:rPr>
              <w:t xml:space="preserve">Vessel or chest wall included</w:t>
            </w:r>
          </w:p>
        </w:tc>
        <w:tc>
          <w:tcPr>
            <w:tcW w:type="dxa" w:w="1431"/>
          </w:tcPr>
          <w:p>
            <w:pPr>
              <w:pStyle w:val="Compact"/>
              <w:spacing w:line="240" w:lineRule="auto" w:after="40"/>
              <w:jc w:val="left"/>
            </w:pPr>
            <w:r>
              <w:rPr>
                <w:sz w:val="19"/>
              </w:rPr>
              <w:t xml:space="preserve">Unnecessary CT or biopsy</w:t>
            </w:r>
          </w:p>
        </w:tc>
        <w:tc>
          <w:tcPr>
            <w:tcW w:type="dxa" w:w="3578"/>
          </w:tcPr>
          <w:p>
            <w:pPr>
              <w:pStyle w:val="Compact"/>
              <w:spacing w:line="240" w:lineRule="auto" w:after="40"/>
              <w:jc w:val="left"/>
            </w:pPr>
            <w:r>
              <w:rPr>
                <w:sz w:val="19"/>
              </w:rPr>
              <w:t xml:space="preserve">Segmentation confined to a plausible extent; leaks reported as not measurable</w:t>
            </w:r>
          </w:p>
        </w:tc>
      </w:tr>
      <w:tr>
        <w:tc>
          <w:tcPr>
            <w:tcW w:type="dxa" w:w="1813"/>
          </w:tcPr>
          <w:p>
            <w:pPr>
              <w:pStyle w:val="Compact"/>
              <w:spacing w:line="240" w:lineRule="auto" w:after="40"/>
              <w:jc w:val="left"/>
            </w:pPr>
            <w:r>
              <w:rPr>
                <w:sz w:val="19"/>
              </w:rPr>
              <w:t xml:space="preserve">Hallucinated nodule</w:t>
            </w:r>
          </w:p>
        </w:tc>
        <w:tc>
          <w:tcPr>
            <w:tcW w:type="dxa" w:w="2207"/>
          </w:tcPr>
          <w:p>
            <w:pPr>
              <w:pStyle w:val="Compact"/>
              <w:spacing w:line="240" w:lineRule="auto" w:after="40"/>
              <w:jc w:val="left"/>
            </w:pPr>
            <w:r>
              <w:rPr>
                <w:sz w:val="19"/>
              </w:rPr>
              <w:t xml:space="preserve">Prior invents structure</w:t>
            </w:r>
          </w:p>
        </w:tc>
        <w:tc>
          <w:tcPr>
            <w:tcW w:type="dxa" w:w="1431"/>
          </w:tcPr>
          <w:p>
            <w:pPr>
              <w:pStyle w:val="Compact"/>
              <w:spacing w:line="240" w:lineRule="auto" w:after="40"/>
              <w:jc w:val="left"/>
            </w:pPr>
            <w:r>
              <w:rPr>
                <w:sz w:val="19"/>
              </w:rPr>
              <w:t xml:space="preserve">False alarm</w:t>
            </w:r>
          </w:p>
        </w:tc>
        <w:tc>
          <w:tcPr>
            <w:tcW w:type="dxa" w:w="3578"/>
          </w:tcPr>
          <w:p>
            <w:pPr>
              <w:pStyle w:val="Compact"/>
              <w:spacing w:line="240" w:lineRule="auto" w:after="40"/>
              <w:jc w:val="left"/>
            </w:pPr>
            <w:r>
              <w:rPr>
                <w:sz w:val="19"/>
              </w:rPr>
              <w:t xml:space="preserve">Data consistency with X-rays; clinician confirms</w:t>
            </w:r>
          </w:p>
        </w:tc>
      </w:tr>
      <w:tr>
        <w:tc>
          <w:tcPr>
            <w:tcW w:type="dxa" w:w="1813"/>
          </w:tcPr>
          <w:p>
            <w:pPr>
              <w:pStyle w:val="Compact"/>
              <w:spacing w:line="240" w:lineRule="auto" w:after="40"/>
              <w:jc w:val="left"/>
            </w:pPr>
            <w:r>
              <w:rPr>
                <w:sz w:val="19"/>
              </w:rPr>
              <w:t xml:space="preserve">Missed nodule</w:t>
            </w:r>
          </w:p>
        </w:tc>
        <w:tc>
          <w:tcPr>
            <w:tcW w:type="dxa" w:w="2207"/>
          </w:tcPr>
          <w:p>
            <w:pPr>
              <w:pStyle w:val="Compact"/>
              <w:spacing w:line="240" w:lineRule="auto" w:after="40"/>
              <w:jc w:val="left"/>
            </w:pPr>
            <w:r>
              <w:rPr>
                <w:sz w:val="19"/>
              </w:rPr>
              <w:t xml:space="preserve">Detector sensitivity 35% at 2 FP/scan</w:t>
            </w:r>
          </w:p>
        </w:tc>
        <w:tc>
          <w:tcPr>
            <w:tcW w:type="dxa" w:w="1431"/>
          </w:tcPr>
          <w:p>
            <w:pPr>
              <w:pStyle w:val="Compact"/>
              <w:spacing w:line="240" w:lineRule="auto" w:after="40"/>
              <w:jc w:val="left"/>
            </w:pPr>
            <w:r>
              <w:rPr>
                <w:sz w:val="19"/>
              </w:rPr>
              <w:t xml:space="preserve">Nodule not suggested</w:t>
            </w:r>
          </w:p>
        </w:tc>
        <w:tc>
          <w:tcPr>
            <w:tcW w:type="dxa" w:w="3578"/>
          </w:tcPr>
          <w:p>
            <w:pPr>
              <w:pStyle w:val="Compact"/>
              <w:spacing w:line="240" w:lineRule="auto" w:after="40"/>
              <w:jc w:val="left"/>
            </w:pPr>
            <w:r>
              <w:rPr>
                <w:sz w:val="19"/>
              </w:rPr>
              <w:t xml:space="preserve">Clinician can click anywhere; detector is an aid</w:t>
            </w:r>
          </w:p>
        </w:tc>
      </w:tr>
      <w:tr>
        <w:tc>
          <w:tcPr>
            <w:tcW w:type="dxa" w:w="1813"/>
          </w:tcPr>
          <w:p>
            <w:pPr>
              <w:pStyle w:val="Compact"/>
              <w:spacing w:line="240" w:lineRule="auto" w:after="40"/>
              <w:jc w:val="left"/>
            </w:pPr>
            <w:r>
              <w:rPr>
                <w:sz w:val="19"/>
              </w:rPr>
              <w:t xml:space="preserve">Out-of-distribution use</w:t>
            </w:r>
          </w:p>
        </w:tc>
        <w:tc>
          <w:tcPr>
            <w:tcW w:type="dxa" w:w="2207"/>
          </w:tcPr>
          <w:p>
            <w:pPr>
              <w:pStyle w:val="Compact"/>
              <w:spacing w:line="240" w:lineRule="auto" w:after="40"/>
              <w:jc w:val="left"/>
            </w:pPr>
            <w:r>
              <w:rPr>
                <w:sz w:val="19"/>
              </w:rPr>
              <w:t xml:space="preserve">Other population, scanner or dose</w:t>
            </w:r>
          </w:p>
        </w:tc>
        <w:tc>
          <w:tcPr>
            <w:tcW w:type="dxa" w:w="1431"/>
          </w:tcPr>
          <w:p>
            <w:pPr>
              <w:pStyle w:val="Compact"/>
              <w:spacing w:line="240" w:lineRule="auto" w:after="40"/>
              <w:jc w:val="left"/>
            </w:pPr>
            <w:r>
              <w:rPr>
                <w:sz w:val="19"/>
              </w:rPr>
              <w:t xml:space="preserve">Silent errors</w:t>
            </w:r>
          </w:p>
        </w:tc>
        <w:tc>
          <w:tcPr>
            <w:tcW w:type="dxa" w:w="3578"/>
          </w:tcPr>
          <w:p>
            <w:pPr>
              <w:pStyle w:val="Compact"/>
              <w:spacing w:line="240" w:lineRule="auto" w:after="40"/>
              <w:jc w:val="left"/>
            </w:pPr>
            <w:r>
              <w:rPr>
                <w:sz w:val="19"/>
              </w:rPr>
              <w:t xml:space="preserve">Validated setting stated; local validation and recalibration required</w:t>
            </w:r>
          </w:p>
        </w:tc>
      </w:tr>
      <w:tr>
        <w:tc>
          <w:tcPr>
            <w:tcW w:type="dxa" w:w="1813"/>
          </w:tcPr>
          <w:p>
            <w:pPr>
              <w:pStyle w:val="Compact"/>
              <w:spacing w:line="240" w:lineRule="auto" w:after="40"/>
              <w:jc w:val="left"/>
            </w:pPr>
            <w:r>
              <w:rPr>
                <w:sz w:val="19"/>
              </w:rPr>
              <w:t xml:space="preserve">Over-trust</w:t>
            </w:r>
          </w:p>
        </w:tc>
        <w:tc>
          <w:tcPr>
            <w:tcW w:type="dxa" w:w="2207"/>
          </w:tcPr>
          <w:p>
            <w:pPr>
              <w:pStyle w:val="Compact"/>
              <w:spacing w:line="240" w:lineRule="auto" w:after="40"/>
              <w:jc w:val="left"/>
            </w:pPr>
            <w:r>
              <w:rPr>
                <w:sz w:val="19"/>
              </w:rPr>
              <w:t xml:space="preserve">Automation bias</w:t>
            </w:r>
          </w:p>
        </w:tc>
        <w:tc>
          <w:tcPr>
            <w:tcW w:type="dxa" w:w="1431"/>
          </w:tcPr>
          <w:p>
            <w:pPr>
              <w:pStyle w:val="Compact"/>
              <w:spacing w:line="240" w:lineRule="auto" w:after="40"/>
              <w:jc w:val="left"/>
            </w:pPr>
            <w:r>
              <w:rPr>
                <w:sz w:val="19"/>
              </w:rPr>
              <w:t xml:space="preserve">Clinician stops checking</w:t>
            </w:r>
          </w:p>
        </w:tc>
        <w:tc>
          <w:tcPr>
            <w:tcW w:type="dxa" w:w="3578"/>
          </w:tcPr>
          <w:p>
            <w:pPr>
              <w:pStyle w:val="Compact"/>
              <w:spacing w:line="240" w:lineRule="auto" w:after="40"/>
              <w:jc w:val="left"/>
            </w:pPr>
            <w:r>
              <w:rPr>
                <w:sz w:val="19"/>
              </w:rPr>
              <w:t xml:space="preserve">Intervals and flags shown prominently; user training</w:t>
            </w:r>
          </w:p>
        </w:tc>
      </w:tr>
    </w:tbl>
    <w:bookmarkEnd w:id="201"/>
    <w:bookmarkStart w:id="202" w:name="social-constraint"/>
    <w:p>
      <w:pPr>
        <w:pStyle w:val="Heading3"/>
      </w:pPr>
      <w:r>
        <w:t xml:space="preserve">5.2.5 Social Constraint</w:t>
      </w:r>
    </w:p>
    <w:p>
      <w:pPr>
        <w:pStyle w:val="FirstParagraph"/>
      </w:pPr>
      <w:r>
        <w:t xml:space="preserve">In the short term, DTS-based follow-up could shorten CT waiting lists and reduce travel for patients outside major cities. In the long term it could make nodule surveillance, and later screening, feasible where CT capacity is the bottleneck, improving early diagnosis where the survival gain is largest. From the patient’s perspective this means less dose and cost; from the radiologist’s, a measurement tool with honest uncertainty; from the health system’s, cheaper follow-up that needs training and local validation. Possible negative effects are over-diagnosis if many more people are followed, and a widening gap if only private hospitals adopt the tool; both argue for public-sector deployment and guideline-based use.</w:t>
      </w:r>
    </w:p>
    <w:bookmarkEnd w:id="202"/>
    <w:bookmarkStart w:id="203" w:name="political-constraint"/>
    <w:p>
      <w:pPr>
        <w:pStyle w:val="Heading3"/>
      </w:pPr>
      <w:r>
        <w:t xml:space="preserve">5.2.6 Political Constraint</w:t>
      </w:r>
    </w:p>
    <w:p>
      <w:pPr>
        <w:pStyle w:val="FirstParagraph"/>
      </w:pPr>
      <w:r>
        <w:t xml:space="preserve">Adoption of health technology depends on public health policy and procurement. In Bangladesh, imaging equipment and software are purchased mainly through government tenders and large private hospital groups, so adoption would need evidence accepted by the health authorities and inclusion in national cancer-control plans. The use of foreign cloud computing for health data is itself a policy question, so a deployment should keep data and computation in the country.</w:t>
      </w:r>
    </w:p>
    <w:bookmarkEnd w:id="203"/>
    <w:bookmarkStart w:id="204" w:name="sustainability"/>
    <w:p>
      <w:pPr>
        <w:pStyle w:val="Heading3"/>
      </w:pPr>
      <w:r>
        <w:t xml:space="preserve">5.2.7 Sustainability</w:t>
      </w:r>
    </w:p>
    <w:p>
      <w:pPr>
        <w:pStyle w:val="FirstParagraph"/>
      </w:pPr>
      <w:r>
        <w:rPr>
          <w:bCs/>
          <w:b/>
        </w:rPr>
        <w:t xml:space="preserve">Lifecycle plan.</w:t>
      </w:r>
      <w:r>
        <w:t xml:space="preserve"> </w:t>
      </w:r>
      <w:r>
        <w:t xml:space="preserve">(1) Development and verification (this project); (2) retrospective validation on real DTS with CT ground truth from a partner hospital; (3) a prospective reader study; (4) regulatory registration; (5) deployment with monitoring of measurement errors and interval coverage; and (6) periodic recalibration of the conformal layer, which needs only new calibration cases, not retraining, when scanners or populations change.</w:t>
      </w:r>
    </w:p>
    <w:p>
      <w:pPr>
        <w:pStyle w:val="BodyText"/>
      </w:pPr>
      <w:r>
        <w:rPr>
          <w:bCs/>
          <w:b/>
        </w:rPr>
        <w:t xml:space="preserve">Three dimensions.</w:t>
      </w:r>
      <w:r>
        <w:t xml:space="preserve"> </w:t>
      </w:r>
      <w:r>
        <w:rPr>
          <w:iCs/>
          <w:i/>
        </w:rPr>
        <w:t xml:space="preserve">Environmental:</w:t>
      </w:r>
      <w:r>
        <w:t xml:space="preserve"> </w:t>
      </w:r>
      <w:r>
        <w:t xml:space="preserve">small model, low energy per measurement, no special hardware.</w:t>
      </w:r>
      <w:r>
        <w:t xml:space="preserve"> </w:t>
      </w:r>
      <w:r>
        <w:rPr>
          <w:iCs/>
          <w:i/>
        </w:rPr>
        <w:t xml:space="preserve">Economic:</w:t>
      </w:r>
      <w:r>
        <w:t xml:space="preserve"> </w:t>
      </w:r>
      <w:r>
        <w:t xml:space="preserve">runs on one mid-range GPU or a low-cost cloud instance, and open-source code avoids licence fees.</w:t>
      </w:r>
      <w:r>
        <w:t xml:space="preserve"> </w:t>
      </w:r>
      <w:r>
        <w:rPr>
          <w:iCs/>
          <w:i/>
        </w:rPr>
        <w:t xml:space="preserve">Social:</w:t>
      </w:r>
      <w:r>
        <w:t xml:space="preserve"> </w:t>
      </w:r>
      <w:r>
        <w:t xml:space="preserve">documented and tested code that another team can maintain, and a method that extends to other limited-angle modalities.</w:t>
      </w:r>
    </w:p>
    <w:bookmarkEnd w:id="204"/>
    <w:bookmarkStart w:id="205" w:name="legal-considerations"/>
    <w:p>
      <w:pPr>
        <w:pStyle w:val="Heading3"/>
      </w:pPr>
      <w:r>
        <w:t xml:space="preserve">5.2.8 Legal Considerations</w:t>
      </w:r>
    </w:p>
    <w:p>
      <w:pPr>
        <w:numPr>
          <w:ilvl w:val="0"/>
          <w:numId w:val="1006"/>
        </w:numPr>
      </w:pPr>
      <w:r>
        <w:rPr>
          <w:bCs/>
          <w:b/>
        </w:rPr>
        <w:t xml:space="preserve">Data licence:</w:t>
      </w:r>
      <w:r>
        <w:t xml:space="preserve"> </w:t>
      </w:r>
      <w:r>
        <w:t xml:space="preserve">LIDC-IDRI is distributed by TCIA under the Creative Commons Attribution 3.0 Unported licence, which allows commercial, scientific and educational use with attribution. The TCIA data usage policy forbids any attempt to identify or contact the participants and requires every publication to cite both the collection [19] and the TCIA repository [65] [60]. We follow both requirements and made no attempt at re-identification.</w:t>
      </w:r>
    </w:p>
    <w:p>
      <w:pPr>
        <w:numPr>
          <w:ilvl w:val="0"/>
          <w:numId w:val="1006"/>
        </w:numPr>
      </w:pPr>
      <w:r>
        <w:rPr>
          <w:bCs/>
          <w:b/>
        </w:rPr>
        <w:t xml:space="preserve">Medical device regulation in Bangladesh:</w:t>
      </w:r>
      <w:r>
        <w:t xml:space="preserve"> </w:t>
      </w:r>
      <w:r>
        <w:t xml:space="preserve">medical devices are regulated by the Directorate General of Drug Administration (DGDA). The Drugs and Cosmetics Act 2023 [66], passed by Parliament in September 2023, replaced the Drugs Act 1940 and the Drugs (Control) Ordinance 1982 and includes provisions on medical devices. Registration follows the DGDA Registration Guidelines for Medical Devices [67], which are based on the Global Harmonization Task Force guidance and define a medical device to include software intended for diagnosis or monitoring. A clinical version of MedLift-3D would therefore be a registrable medical device; implementing rules under the 2023 Act are still being developed, so the current DGDA requirements must be confirmed at the time of submission.</w:t>
      </w:r>
    </w:p>
    <w:p>
      <w:pPr>
        <w:numPr>
          <w:ilvl w:val="0"/>
          <w:numId w:val="1006"/>
        </w:numPr>
      </w:pPr>
      <w:r>
        <w:rPr>
          <w:bCs/>
          <w:b/>
        </w:rPr>
        <w:t xml:space="preserve">Other markets:</w:t>
      </w:r>
      <w:r>
        <w:t xml:space="preserve"> </w:t>
      </w:r>
      <w:r>
        <w:t xml:space="preserve">the US FDA (510(k) or De Novo), the EU Medical Device Regulation [68] and the EU AI Act [69], which classes medical AI as high risk, would apply; each requires risk management [58], life-cycle processes [57] and clinical evidence.</w:t>
      </w:r>
    </w:p>
    <w:p>
      <w:pPr>
        <w:numPr>
          <w:ilvl w:val="0"/>
          <w:numId w:val="1006"/>
        </w:numPr>
      </w:pPr>
      <w:r>
        <w:rPr>
          <w:bCs/>
          <w:b/>
        </w:rPr>
        <w:t xml:space="preserve">Data protection:</w:t>
      </w:r>
      <w:r>
        <w:t xml:space="preserve"> </w:t>
      </w:r>
      <w:r>
        <w:t xml:space="preserve">Bangladesh’s Personal Data Protection Ordinance 2025 [70], approved on 9 October 2025 and published in the official gazette on 6 November 2025, recognises citizens as the owners of their personal data, makes explicit consent mandatory before personal data is collected, stored, transferred or used, treats health records as sensitive data with stricter rules and penalties, and restricts cross-border transfers; some provisions take effect 18 months after publication. A clinical deployment would have to obtain consent, keep health data within these rules (and GDPR or HIPAA for international data), and preferably compute inside the country. The demonstration uses only de-identified public data.</w:t>
      </w:r>
    </w:p>
    <w:p>
      <w:pPr>
        <w:numPr>
          <w:ilvl w:val="0"/>
          <w:numId w:val="1006"/>
        </w:numPr>
      </w:pPr>
      <w:r>
        <w:rPr>
          <w:bCs/>
          <w:b/>
        </w:rPr>
        <w:t xml:space="preserve">Liability:</w:t>
      </w:r>
      <w:r>
        <w:t xml:space="preserve"> </w:t>
      </w:r>
      <w:r>
        <w:t xml:space="preserve">the intended use is decision support; the clinician remains responsible for the diagnosis.</w:t>
      </w:r>
    </w:p>
    <w:bookmarkEnd w:id="205"/>
    <w:bookmarkStart w:id="206" w:name="cultural-considerations"/>
    <w:p>
      <w:pPr>
        <w:pStyle w:val="Heading3"/>
      </w:pPr>
      <w:r>
        <w:t xml:space="preserve">5.2.9 Cultural Considerations</w:t>
      </w:r>
    </w:p>
    <w:p>
      <w:pPr>
        <w:numPr>
          <w:ilvl w:val="0"/>
          <w:numId w:val="1007"/>
        </w:numPr>
      </w:pPr>
      <w:r>
        <w:rPr>
          <w:bCs/>
          <w:b/>
        </w:rPr>
        <w:t xml:space="preserve">Language and literacy:</w:t>
      </w:r>
      <w:r>
        <w:t xml:space="preserve"> </w:t>
      </w:r>
      <w:r>
        <w:t xml:space="preserve">a deployed interface should offer Bangla and present results in plain categories, with numbers available for specialists.</w:t>
      </w:r>
    </w:p>
    <w:p>
      <w:pPr>
        <w:numPr>
          <w:ilvl w:val="0"/>
          <w:numId w:val="1007"/>
        </w:numPr>
      </w:pPr>
      <w:r>
        <w:rPr>
          <w:bCs/>
          <w:b/>
        </w:rPr>
        <w:t xml:space="preserve">Family-centred decisions:</w:t>
      </w:r>
      <w:r>
        <w:t xml:space="preserve"> </w:t>
      </w:r>
      <w:r>
        <w:t xml:space="preserve">diagnoses are often discussed with the family, so uncertainty should be explained through the clinician in a way the family can follow, not as raw probabilities.</w:t>
      </w:r>
    </w:p>
    <w:p>
      <w:pPr>
        <w:numPr>
          <w:ilvl w:val="0"/>
          <w:numId w:val="1007"/>
        </w:numPr>
      </w:pPr>
      <w:r>
        <w:rPr>
          <w:bCs/>
          <w:b/>
        </w:rPr>
        <w:t xml:space="preserve">Stigma:</w:t>
      </w:r>
      <w:r>
        <w:t xml:space="preserve"> </w:t>
      </w:r>
      <w:r>
        <w:t xml:space="preserve">lung cancer is often linked to smoking and blame; communication should avoid blame, and many patients, especially women exposed to cooking smoke, have never smoked.</w:t>
      </w:r>
    </w:p>
    <w:p>
      <w:pPr>
        <w:numPr>
          <w:ilvl w:val="0"/>
          <w:numId w:val="1007"/>
        </w:numPr>
      </w:pPr>
      <w:r>
        <w:rPr>
          <w:bCs/>
          <w:b/>
        </w:rPr>
        <w:t xml:space="preserve">Local disease patterns:</w:t>
      </w:r>
      <w:r>
        <w:t xml:space="preserve"> </w:t>
      </w:r>
      <w:r>
        <w:t xml:space="preserve">healed tuberculosis leaves calcified granulomas that resemble nodules. The model was not trained on such patients, so local validation is required before use, which also respects patients’ right to a tool tested on people like them.</w:t>
      </w:r>
    </w:p>
    <w:p>
      <w:pPr>
        <w:numPr>
          <w:ilvl w:val="0"/>
          <w:numId w:val="1007"/>
        </w:numPr>
      </w:pPr>
      <w:r>
        <w:rPr>
          <w:bCs/>
          <w:b/>
        </w:rPr>
        <w:t xml:space="preserve">Trust:</w:t>
      </w:r>
      <w:r>
        <w:t xml:space="preserve"> </w:t>
      </w:r>
      <w:r>
        <w:t xml:space="preserve">many patients trust the doctor more than a machine; keeping the clinician in charge respects this.</w:t>
      </w:r>
    </w:p>
    <w:bookmarkEnd w:id="206"/>
    <w:bookmarkEnd w:id="207"/>
    <w:bookmarkStart w:id="208" w:name="cost-analysis"/>
    <w:p>
      <w:pPr>
        <w:pStyle w:val="Heading2"/>
      </w:pPr>
      <w:r>
        <w:t xml:space="preserve">5.3 Cost Analysis</w:t>
      </w:r>
    </w:p>
    <w:p>
      <w:pPr>
        <w:pStyle w:val="FirstParagraph"/>
      </w:pPr>
      <w:r>
        <w:rPr>
          <w:bCs/>
          <w:b/>
        </w:rPr>
        <w:t xml:space="preserve">Actual project budget.</w:t>
      </w:r>
      <w:r>
        <w:t xml:space="preserve"> </w:t>
      </w:r>
      <w:r>
        <w:t xml:space="preserve">Table 5.5 gives the actual cost of the computation (exchange rate assumed: US$1</w:t>
      </w:r>
      <w:r>
        <w:t xml:space="preserve"> </w:t>
      </w:r>
      <m:oMath>
        <m:r>
          <m:rPr>
            <m:sty m:val="p"/>
          </m:rPr>
          <m:t>≈</m:t>
        </m:r>
      </m:oMath>
      <w:r>
        <w:t xml:space="preserve"> </w:t>
      </w:r>
      <w:r>
        <w:t xml:space="preserve">BDT 120).</w:t>
      </w:r>
    </w:p>
    <w:p>
      <w:pPr>
        <w:pStyle w:val="BodyText"/>
        <w:jc w:val="center"/>
      </w:pPr>
      <w:r>
        <w:rPr>
          <w:bCs/>
          <w:b/>
          <w:iCs/>
          <w:i/>
          <w:sz w:val="20"/>
        </w:rPr>
        <w:t xml:space="preserve">Table 5.5:</w:t>
      </w:r>
      <w:r>
        <w:rPr>
          <w:iCs/>
          <w:i/>
          <w:sz w:val="20"/>
        </w:rPr>
        <w:t xml:space="preserve"> </w:t>
      </w:r>
      <w:r>
        <w:rPr>
          <w:iCs/>
          <w:i/>
          <w:sz w:val="20"/>
        </w:rPr>
        <w:t xml:space="preserve">Actual project budget.</w:t>
      </w:r>
    </w:p>
    <w:tbl>
      <w:tblPr>
        <w:tblStyle w:val="Table"/>
        <w:tblW w:type="auto" w:w="0"/>
        <w:tblLook w:firstRow="1" w:lastRow="0" w:firstColumn="0" w:lastColumn="0" w:noHBand="0" w:noVBand="0" w:val="0020"/>
        <w:jc w:val="start"/>
        <w:tblBorders>
          <w:top w:val="single" w:sz="12" w:color="000000"/>
          <w:bottom w:val="single" w:sz="12" w:color="000000"/>
          <w:insideH w:val="single" w:sz="6" w:color="808080"/>
        </w:tblBorders>
      </w:tblPr>
      <w:tblGrid>
        <w:gridCol w:w="6429"/>
        <w:gridCol w:w="1094"/>
        <w:gridCol w:w="1504"/>
      </w:tblGrid>
      <w:tr>
        <w:trPr>
          <w:tblHeader w:val="true"/>
        </w:trPr>
        <w:tc>
          <w:tcPr>
            <w:tcW w:type="dxa" w:w="6430"/>
          </w:tcPr>
          <w:p>
            <w:pPr>
              <w:pStyle w:val="Compact"/>
              <w:spacing w:line="240" w:lineRule="auto" w:after="40"/>
              <w:jc w:val="left"/>
            </w:pPr>
            <w:r>
              <w:rPr>
                <w:b/>
                <w:sz w:val="19"/>
              </w:rPr>
              <w:t xml:space="preserve">Item</w:t>
            </w:r>
          </w:p>
        </w:tc>
        <w:tc>
          <w:tcPr>
            <w:tcW w:type="dxa" w:w="1094"/>
          </w:tcPr>
          <w:p>
            <w:pPr>
              <w:pStyle w:val="Compact"/>
              <w:spacing w:line="240" w:lineRule="auto" w:after="40"/>
              <w:jc w:val="right"/>
            </w:pPr>
            <w:r>
              <w:rPr>
                <w:b/>
                <w:sz w:val="19"/>
              </w:rPr>
              <w:t xml:space="preserve">US$</w:t>
            </w:r>
          </w:p>
        </w:tc>
        <w:tc>
          <w:tcPr>
            <w:tcW w:type="dxa" w:w="1505"/>
          </w:tcPr>
          <w:p>
            <w:pPr>
              <w:pStyle w:val="Compact"/>
              <w:spacing w:line="240" w:lineRule="auto" w:after="40"/>
              <w:jc w:val="right"/>
            </w:pPr>
            <w:r>
              <w:rPr>
                <w:b/>
                <w:sz w:val="19"/>
              </w:rPr>
              <w:t xml:space="preserve">BDT</w:t>
            </w:r>
          </w:p>
        </w:tc>
      </w:tr>
      <w:tr>
        <w:tc>
          <w:tcPr>
            <w:tcW w:type="dxa" w:w="6430"/>
          </w:tcPr>
          <w:p>
            <w:pPr>
              <w:pStyle w:val="Compact"/>
              <w:spacing w:line="240" w:lineRule="auto" w:after="40"/>
              <w:jc w:val="left"/>
            </w:pPr>
            <w:r>
              <w:rPr>
                <w:sz w:val="19"/>
              </w:rPr>
              <w:t xml:space="preserve">RunPod GPU (L40S, 15 hours at US$1.33 per hour)</w:t>
            </w:r>
          </w:p>
        </w:tc>
        <w:tc>
          <w:tcPr>
            <w:tcW w:type="dxa" w:w="1094"/>
          </w:tcPr>
          <w:p>
            <w:pPr>
              <w:pStyle w:val="Compact"/>
              <w:spacing w:line="240" w:lineRule="auto" w:after="40"/>
              <w:jc w:val="right"/>
            </w:pPr>
            <m:oMath>
              <m:r>
                <m:rPr>
                  <m:sty m:val="p"/>
                </m:rPr>
                <m:t>≈</m:t>
              </m:r>
              <m:r>
                <m:t>20</m:t>
              </m:r>
            </m:oMath>
          </w:p>
        </w:tc>
        <w:tc>
          <w:tcPr>
            <w:tcW w:type="dxa" w:w="1505"/>
          </w:tcPr>
          <w:p>
            <w:pPr>
              <w:pStyle w:val="Compact"/>
              <w:spacing w:line="240" w:lineRule="auto" w:after="40"/>
              <w:jc w:val="right"/>
            </w:pPr>
            <m:oMath>
              <m:r>
                <m:rPr>
                  <m:sty m:val="p"/>
                </m:rPr>
                <m:t>≈</m:t>
              </m:r>
              <m:r>
                <m:t>2</m:t>
              </m:r>
              <m:r>
                <m:rPr>
                  <m:sty m:val="p"/>
                </m:rPr>
                <m:t>,</m:t>
              </m:r>
              <m:r>
                <m:t>400</m:t>
              </m:r>
            </m:oMath>
          </w:p>
        </w:tc>
      </w:tr>
      <w:tr>
        <w:tc>
          <w:tcPr>
            <w:tcW w:type="dxa" w:w="6430"/>
          </w:tcPr>
          <w:p>
            <w:pPr>
              <w:pStyle w:val="Compact"/>
              <w:spacing w:line="240" w:lineRule="auto" w:after="40"/>
              <w:jc w:val="left"/>
            </w:pPr>
            <w:r>
              <w:rPr>
                <w:sz w:val="19"/>
              </w:rPr>
              <w:t xml:space="preserve">RunPod CPU machine (download and case building)</w:t>
            </w:r>
          </w:p>
        </w:tc>
        <w:tc>
          <w:tcPr>
            <w:tcW w:type="dxa" w:w="1094"/>
          </w:tcPr>
          <w:p>
            <w:pPr>
              <w:pStyle w:val="Compact"/>
              <w:spacing w:line="240" w:lineRule="auto" w:after="40"/>
              <w:jc w:val="right"/>
            </w:pPr>
            <m:oMath>
              <m:r>
                <m:rPr>
                  <m:sty m:val="p"/>
                </m:rPr>
                <m:t>&lt;</m:t>
              </m:r>
              <m:r>
                <m:t>2</m:t>
              </m:r>
            </m:oMath>
          </w:p>
        </w:tc>
        <w:tc>
          <w:tcPr>
            <w:tcW w:type="dxa" w:w="1505"/>
          </w:tcPr>
          <w:p>
            <w:pPr>
              <w:pStyle w:val="Compact"/>
              <w:spacing w:line="240" w:lineRule="auto" w:after="40"/>
              <w:jc w:val="right"/>
            </w:pPr>
            <m:oMath>
              <m:r>
                <m:rPr>
                  <m:sty m:val="p"/>
                </m:rPr>
                <m:t>&lt;</m:t>
              </m:r>
              <m:r>
                <m:t>240</m:t>
              </m:r>
            </m:oMath>
          </w:p>
        </w:tc>
      </w:tr>
      <w:tr>
        <w:tc>
          <w:tcPr>
            <w:tcW w:type="dxa" w:w="6430"/>
          </w:tcPr>
          <w:p>
            <w:pPr>
              <w:pStyle w:val="Compact"/>
              <w:spacing w:line="240" w:lineRule="auto" w:after="40"/>
              <w:jc w:val="left"/>
            </w:pPr>
            <w:r>
              <w:rPr>
                <w:sz w:val="19"/>
              </w:rPr>
              <w:t xml:space="preserve">Kaggle notebooks (pilot, application)</w:t>
            </w:r>
          </w:p>
        </w:tc>
        <w:tc>
          <w:tcPr>
            <w:tcW w:type="dxa" w:w="1094"/>
          </w:tcPr>
          <w:p>
            <w:pPr>
              <w:pStyle w:val="Compact"/>
              <w:spacing w:line="240" w:lineRule="auto" w:after="40"/>
              <w:jc w:val="right"/>
            </w:pPr>
            <w:r>
              <w:rPr>
                <w:sz w:val="19"/>
              </w:rPr>
              <w:t xml:space="preserve">0</w:t>
            </w:r>
          </w:p>
        </w:tc>
        <w:tc>
          <w:tcPr>
            <w:tcW w:type="dxa" w:w="1505"/>
          </w:tcPr>
          <w:p>
            <w:pPr>
              <w:pStyle w:val="Compact"/>
              <w:spacing w:line="240" w:lineRule="auto" w:after="40"/>
              <w:jc w:val="right"/>
            </w:pPr>
            <w:r>
              <w:rPr>
                <w:sz w:val="19"/>
              </w:rPr>
              <w:t xml:space="preserve">0</w:t>
            </w:r>
          </w:p>
        </w:tc>
      </w:tr>
      <w:tr>
        <w:tc>
          <w:tcPr>
            <w:tcW w:type="dxa" w:w="6430"/>
          </w:tcPr>
          <w:p>
            <w:pPr>
              <w:pStyle w:val="Compact"/>
              <w:spacing w:line="240" w:lineRule="auto" w:after="40"/>
              <w:jc w:val="left"/>
            </w:pPr>
            <w:r>
              <w:rPr>
                <w:sz w:val="19"/>
              </w:rPr>
              <w:t xml:space="preserve">LIDC-IDRI data and open-source software</w:t>
            </w:r>
          </w:p>
        </w:tc>
        <w:tc>
          <w:tcPr>
            <w:tcW w:type="dxa" w:w="1094"/>
          </w:tcPr>
          <w:p>
            <w:pPr>
              <w:pStyle w:val="Compact"/>
              <w:spacing w:line="240" w:lineRule="auto" w:after="40"/>
              <w:jc w:val="right"/>
            </w:pPr>
            <w:r>
              <w:rPr>
                <w:sz w:val="19"/>
              </w:rPr>
              <w:t xml:space="preserve">0</w:t>
            </w:r>
          </w:p>
        </w:tc>
        <w:tc>
          <w:tcPr>
            <w:tcW w:type="dxa" w:w="1505"/>
          </w:tcPr>
          <w:p>
            <w:pPr>
              <w:pStyle w:val="Compact"/>
              <w:spacing w:line="240" w:lineRule="auto" w:after="40"/>
              <w:jc w:val="right"/>
            </w:pPr>
            <w:r>
              <w:rPr>
                <w:sz w:val="19"/>
              </w:rPr>
              <w:t xml:space="preserve">0</w:t>
            </w:r>
          </w:p>
        </w:tc>
      </w:tr>
      <w:tr>
        <w:tc>
          <w:tcPr>
            <w:tcW w:type="dxa" w:w="6430"/>
          </w:tcPr>
          <w:p>
            <w:pPr>
              <w:pStyle w:val="Compact"/>
              <w:spacing w:line="240" w:lineRule="auto" w:after="40"/>
              <w:jc w:val="left"/>
            </w:pPr>
            <w:r>
              <w:rPr>
                <w:bCs/>
                <w:b/>
                <w:sz w:val="19"/>
              </w:rPr>
              <w:t xml:space="preserve">Total</w:t>
            </w:r>
          </w:p>
        </w:tc>
        <w:tc>
          <w:tcPr>
            <w:tcW w:type="dxa" w:w="1094"/>
          </w:tcPr>
          <w:p>
            <w:pPr>
              <w:pStyle w:val="Compact"/>
              <w:spacing w:line="240" w:lineRule="auto" w:after="40"/>
              <w:jc w:val="right"/>
            </w:pPr>
            <w:r>
              <w:rPr>
                <w:bCs/>
                <w:b/>
                <w:sz w:val="19"/>
              </w:rPr>
              <w:t xml:space="preserve">about 22</w:t>
            </w:r>
          </w:p>
        </w:tc>
        <w:tc>
          <w:tcPr>
            <w:tcW w:type="dxa" w:w="1505"/>
          </w:tcPr>
          <w:p>
            <w:pPr>
              <w:pStyle w:val="Compact"/>
              <w:spacing w:line="240" w:lineRule="auto" w:after="40"/>
              <w:jc w:val="right"/>
            </w:pPr>
            <w:r>
              <w:rPr>
                <w:bCs/>
                <w:b/>
                <w:sz w:val="19"/>
              </w:rPr>
              <w:t xml:space="preserve">about 2,640</w:t>
            </w:r>
          </w:p>
        </w:tc>
      </w:tr>
    </w:tbl>
    <w:p>
      <w:pPr>
        <w:pStyle w:val="BodyText"/>
      </w:pPr>
      <w:r>
        <w:rPr>
          <w:bCs/>
          <w:b/>
        </w:rPr>
        <w:t xml:space="preserve">Alternate budget: buy instead of rent.</w:t>
      </w:r>
      <w:r>
        <w:t xml:space="preserve"> </w:t>
      </w:r>
      <w:r>
        <w:t xml:space="preserve">An RTX 4090 (24 GB) graphics card alone costs about BDT 2.4–2.9 lakh at Bangladeshi retailers, so a complete workstation would cost about BDT 4–5 lakh. It would run the study in 20–30 hours but pays off only after hundreds of runs. Renting cost less than 1% of buying and provided a larger 48 GB GPU, so renting was the right choice for a one-off study; buying makes sense only for a centre with continuous use.</w:t>
      </w:r>
    </w:p>
    <w:p>
      <w:pPr>
        <w:pStyle w:val="BodyText"/>
      </w:pPr>
      <w:r>
        <w:rPr>
          <w:bCs/>
          <w:b/>
        </w:rPr>
        <w:t xml:space="preserve">Revenue model (illustrative).</w:t>
      </w:r>
      <w:r>
        <w:t xml:space="preserve"> </w:t>
      </w:r>
      <w:r>
        <w:t xml:space="preserve">For a commercial version, assume 18 months of validation and registration and customers among diagnostic centres and hospitals with DTS-capable radiography (Tables 5.6 and 5.7).</w:t>
      </w:r>
    </w:p>
    <w:p>
      <w:pPr>
        <w:pStyle w:val="BodyText"/>
        <w:jc w:val="center"/>
      </w:pPr>
      <w:r>
        <w:rPr>
          <w:bCs/>
          <w:b/>
          <w:iCs/>
          <w:i/>
          <w:sz w:val="20"/>
        </w:rPr>
        <w:t xml:space="preserve">Table 5.6:</w:t>
      </w:r>
      <w:r>
        <w:rPr>
          <w:iCs/>
          <w:i/>
          <w:sz w:val="20"/>
        </w:rPr>
        <w:t xml:space="preserve"> </w:t>
      </w:r>
      <w:r>
        <w:rPr>
          <w:iCs/>
          <w:i/>
          <w:sz w:val="20"/>
        </w:rPr>
        <w:t xml:space="preserve">Illustrative revenue (BDT lakh).</w:t>
      </w:r>
    </w:p>
    <w:tbl>
      <w:tblPr>
        <w:tblStyle w:val="Table"/>
        <w:tblW w:type="auto" w:w="0"/>
        <w:tblLook w:firstRow="1" w:lastRow="0" w:firstColumn="0" w:lastColumn="0" w:noHBand="0" w:noVBand="0" w:val="0020"/>
        <w:jc w:val="start"/>
        <w:tblBorders>
          <w:top w:val="single" w:sz="12" w:color="000000"/>
          <w:bottom w:val="single" w:sz="12" w:color="000000"/>
          <w:insideH w:val="single" w:sz="6" w:color="808080"/>
        </w:tblBorders>
      </w:tblPr>
      <w:tblGrid>
        <w:gridCol w:w="4545"/>
        <w:gridCol w:w="661"/>
        <w:gridCol w:w="1859"/>
        <w:gridCol w:w="1962"/>
      </w:tblGrid>
      <w:tr>
        <w:trPr>
          <w:tblHeader w:val="true"/>
        </w:trPr>
        <w:tc>
          <w:tcPr>
            <w:tcW w:type="dxa" w:w="4545"/>
          </w:tcPr>
          <w:p>
            <w:pPr>
              <w:pStyle w:val="Compact"/>
              <w:spacing w:line="240" w:lineRule="auto" w:after="40"/>
              <w:jc w:val="left"/>
            </w:pPr>
            <w:r>
              <w:rPr>
                <w:b/>
                <w:sz w:val="19"/>
              </w:rPr>
              <w:t xml:space="preserve">Revenue stream (price)</w:t>
            </w:r>
          </w:p>
        </w:tc>
        <w:tc>
          <w:tcPr>
            <w:tcW w:type="dxa" w:w="661"/>
          </w:tcPr>
          <w:p>
            <w:pPr>
              <w:pStyle w:val="Compact"/>
              <w:spacing w:line="240" w:lineRule="auto" w:after="40"/>
              <w:jc w:val="center"/>
            </w:pPr>
            <w:r>
              <w:rPr>
                <w:b/>
                <w:sz w:val="19"/>
              </w:rPr>
              <w:t xml:space="preserve">Year 1</w:t>
            </w:r>
          </w:p>
        </w:tc>
        <w:tc>
          <w:tcPr>
            <w:tcW w:type="dxa" w:w="1860"/>
          </w:tcPr>
          <w:p>
            <w:pPr>
              <w:pStyle w:val="Compact"/>
              <w:spacing w:line="240" w:lineRule="auto" w:after="40"/>
              <w:jc w:val="center"/>
            </w:pPr>
            <w:r>
              <w:rPr>
                <w:b/>
                <w:sz w:val="19"/>
              </w:rPr>
              <w:t xml:space="preserve">Year 2</w:t>
            </w:r>
          </w:p>
        </w:tc>
        <w:tc>
          <w:tcPr>
            <w:tcW w:type="dxa" w:w="1963"/>
          </w:tcPr>
          <w:p>
            <w:pPr>
              <w:pStyle w:val="Compact"/>
              <w:spacing w:line="240" w:lineRule="auto" w:after="40"/>
              <w:jc w:val="center"/>
            </w:pPr>
            <w:r>
              <w:rPr>
                <w:b/>
                <w:sz w:val="19"/>
              </w:rPr>
              <w:t xml:space="preserve">Year 3</w:t>
            </w:r>
          </w:p>
        </w:tc>
      </w:tr>
      <w:tr>
        <w:tc>
          <w:tcPr>
            <w:tcW w:type="dxa" w:w="4545"/>
          </w:tcPr>
          <w:p>
            <w:pPr>
              <w:pStyle w:val="Compact"/>
              <w:spacing w:line="240" w:lineRule="auto" w:after="40"/>
              <w:jc w:val="left"/>
            </w:pPr>
            <w:r>
              <w:rPr>
                <w:sz w:val="19"/>
              </w:rPr>
              <w:t xml:space="preserve">Pay per study (BDT 300 per nodule follow-up)</w:t>
            </w:r>
          </w:p>
        </w:tc>
        <w:tc>
          <w:tcPr>
            <w:tcW w:type="dxa" w:w="661"/>
          </w:tcPr>
          <w:p>
            <w:pPr>
              <w:pStyle w:val="Compact"/>
              <w:spacing w:line="240" w:lineRule="auto" w:after="40"/>
              <w:jc w:val="center"/>
            </w:pPr>
            <w:r>
              <w:rPr>
                <w:sz w:val="19"/>
              </w:rPr>
              <w:t xml:space="preserve">0</w:t>
            </w:r>
          </w:p>
        </w:tc>
        <w:tc>
          <w:tcPr>
            <w:tcW w:type="dxa" w:w="1860"/>
          </w:tcPr>
          <w:p>
            <w:pPr>
              <w:pStyle w:val="Compact"/>
              <w:spacing w:line="240" w:lineRule="auto" w:after="40"/>
              <w:jc w:val="center"/>
            </w:pPr>
            <w:r>
              <w:rPr>
                <w:sz w:val="19"/>
              </w:rPr>
              <w:t xml:space="preserve">18 (6,000 studies)</w:t>
            </w:r>
          </w:p>
        </w:tc>
        <w:tc>
          <w:tcPr>
            <w:tcW w:type="dxa" w:w="1963"/>
          </w:tcPr>
          <w:p>
            <w:pPr>
              <w:pStyle w:val="Compact"/>
              <w:spacing w:line="240" w:lineRule="auto" w:after="40"/>
              <w:jc w:val="center"/>
            </w:pPr>
            <w:r>
              <w:rPr>
                <w:sz w:val="19"/>
              </w:rPr>
              <w:t xml:space="preserve">60 (20,000 studies)</w:t>
            </w:r>
          </w:p>
        </w:tc>
      </w:tr>
      <w:tr>
        <w:tc>
          <w:tcPr>
            <w:tcW w:type="dxa" w:w="4545"/>
          </w:tcPr>
          <w:p>
            <w:pPr>
              <w:pStyle w:val="Compact"/>
              <w:spacing w:line="240" w:lineRule="auto" w:after="40"/>
              <w:jc w:val="left"/>
            </w:pPr>
            <w:r>
              <w:rPr>
                <w:sz w:val="19"/>
              </w:rPr>
              <w:t xml:space="preserve">Hospital subscription (BDT 6 lakh per year)</w:t>
            </w:r>
          </w:p>
        </w:tc>
        <w:tc>
          <w:tcPr>
            <w:tcW w:type="dxa" w:w="661"/>
          </w:tcPr>
          <w:p>
            <w:pPr>
              <w:pStyle w:val="Compact"/>
              <w:spacing w:line="240" w:lineRule="auto" w:after="40"/>
              <w:jc w:val="center"/>
            </w:pPr>
            <w:r>
              <w:rPr>
                <w:sz w:val="19"/>
              </w:rPr>
              <w:t xml:space="preserve">0</w:t>
            </w:r>
          </w:p>
        </w:tc>
        <w:tc>
          <w:tcPr>
            <w:tcW w:type="dxa" w:w="1860"/>
          </w:tcPr>
          <w:p>
            <w:pPr>
              <w:pStyle w:val="Compact"/>
              <w:spacing w:line="240" w:lineRule="auto" w:after="40"/>
              <w:jc w:val="center"/>
            </w:pPr>
            <w:r>
              <w:rPr>
                <w:sz w:val="19"/>
              </w:rPr>
              <w:t xml:space="preserve">18 (3 hospitals)</w:t>
            </w:r>
          </w:p>
        </w:tc>
        <w:tc>
          <w:tcPr>
            <w:tcW w:type="dxa" w:w="1963"/>
          </w:tcPr>
          <w:p>
            <w:pPr>
              <w:pStyle w:val="Compact"/>
              <w:spacing w:line="240" w:lineRule="auto" w:after="40"/>
              <w:jc w:val="center"/>
            </w:pPr>
            <w:r>
              <w:rPr>
                <w:sz w:val="19"/>
              </w:rPr>
              <w:t xml:space="preserve">48 (8 hospitals)</w:t>
            </w:r>
          </w:p>
        </w:tc>
      </w:tr>
      <w:tr>
        <w:tc>
          <w:tcPr>
            <w:tcW w:type="dxa" w:w="4545"/>
          </w:tcPr>
          <w:p>
            <w:pPr>
              <w:pStyle w:val="Compact"/>
              <w:spacing w:line="240" w:lineRule="auto" w:after="40"/>
              <w:jc w:val="left"/>
            </w:pPr>
            <w:r>
              <w:rPr>
                <w:bCs/>
                <w:b/>
                <w:sz w:val="19"/>
              </w:rPr>
              <w:t xml:space="preserve">Total revenue</w:t>
            </w:r>
          </w:p>
        </w:tc>
        <w:tc>
          <w:tcPr>
            <w:tcW w:type="dxa" w:w="661"/>
          </w:tcPr>
          <w:p>
            <w:pPr>
              <w:pStyle w:val="Compact"/>
              <w:spacing w:line="240" w:lineRule="auto" w:after="40"/>
              <w:jc w:val="center"/>
            </w:pPr>
            <w:r>
              <w:rPr>
                <w:bCs/>
                <w:b/>
                <w:sz w:val="19"/>
              </w:rPr>
              <w:t xml:space="preserve">0</w:t>
            </w:r>
          </w:p>
        </w:tc>
        <w:tc>
          <w:tcPr>
            <w:tcW w:type="dxa" w:w="1860"/>
          </w:tcPr>
          <w:p>
            <w:pPr>
              <w:pStyle w:val="Compact"/>
              <w:spacing w:line="240" w:lineRule="auto" w:after="40"/>
              <w:jc w:val="center"/>
            </w:pPr>
            <w:r>
              <w:rPr>
                <w:bCs/>
                <w:b/>
                <w:sz w:val="19"/>
              </w:rPr>
              <w:t xml:space="preserve">36</w:t>
            </w:r>
          </w:p>
        </w:tc>
        <w:tc>
          <w:tcPr>
            <w:tcW w:type="dxa" w:w="1963"/>
          </w:tcPr>
          <w:p>
            <w:pPr>
              <w:pStyle w:val="Compact"/>
              <w:spacing w:line="240" w:lineRule="auto" w:after="40"/>
              <w:jc w:val="center"/>
            </w:pPr>
            <w:r>
              <w:rPr>
                <w:bCs/>
                <w:b/>
                <w:sz w:val="19"/>
              </w:rPr>
              <w:t xml:space="preserve">108</w:t>
            </w:r>
          </w:p>
        </w:tc>
      </w:tr>
    </w:tbl>
    <w:p>
      <w:pPr>
        <w:pStyle w:val="BodyText"/>
        <w:jc w:val="center"/>
      </w:pPr>
      <w:r>
        <w:rPr>
          <w:bCs/>
          <w:b/>
          <w:iCs/>
          <w:i/>
          <w:sz w:val="20"/>
        </w:rPr>
        <w:t xml:space="preserve">Table 5.7:</w:t>
      </w:r>
      <w:r>
        <w:rPr>
          <w:iCs/>
          <w:i/>
          <w:sz w:val="20"/>
        </w:rPr>
        <w:t xml:space="preserve"> </w:t>
      </w:r>
      <w:r>
        <w:rPr>
          <w:iCs/>
          <w:i/>
          <w:sz w:val="20"/>
        </w:rPr>
        <w:t xml:space="preserve">Illustrative expenses and cash flow (BDT lakh).</w:t>
      </w:r>
    </w:p>
    <w:tbl>
      <w:tblPr>
        <w:tblStyle w:val="Table"/>
        <w:tblW w:type="auto" w:w="0"/>
        <w:tblLook w:firstRow="1" w:lastRow="0" w:firstColumn="0" w:lastColumn="0" w:noHBand="0" w:noVBand="0" w:val="0020"/>
        <w:jc w:val="start"/>
        <w:tblBorders>
          <w:top w:val="single" w:sz="12" w:color="000000"/>
          <w:bottom w:val="single" w:sz="12" w:color="000000"/>
          <w:insideH w:val="single" w:sz="6" w:color="808080"/>
        </w:tblBorders>
      </w:tblPr>
      <w:tblGrid>
        <w:gridCol w:w="6196"/>
        <w:gridCol w:w="944"/>
        <w:gridCol w:w="944"/>
        <w:gridCol w:w="944"/>
      </w:tblGrid>
      <w:tr>
        <w:trPr>
          <w:tblHeader w:val="true"/>
        </w:trPr>
        <w:tc>
          <w:tcPr>
            <w:tcW w:type="dxa" w:w="6196"/>
          </w:tcPr>
          <w:p>
            <w:pPr>
              <w:pStyle w:val="Compact"/>
              <w:spacing w:line="240" w:lineRule="auto" w:after="40"/>
              <w:jc w:val="left"/>
            </w:pPr>
            <w:r>
              <w:rPr>
                <w:b/>
                <w:sz w:val="19"/>
              </w:rPr>
              <w:t xml:space="preserve">Item</w:t>
            </w:r>
          </w:p>
        </w:tc>
        <w:tc>
          <w:tcPr>
            <w:tcW w:type="dxa" w:w="944"/>
          </w:tcPr>
          <w:p>
            <w:pPr>
              <w:pStyle w:val="Compact"/>
              <w:spacing w:line="240" w:lineRule="auto" w:after="40"/>
              <w:jc w:val="center"/>
            </w:pPr>
            <w:r>
              <w:rPr>
                <w:b/>
                <w:sz w:val="19"/>
              </w:rPr>
              <w:t xml:space="preserve">Year 1</w:t>
            </w:r>
          </w:p>
        </w:tc>
        <w:tc>
          <w:tcPr>
            <w:tcW w:type="dxa" w:w="944"/>
          </w:tcPr>
          <w:p>
            <w:pPr>
              <w:pStyle w:val="Compact"/>
              <w:spacing w:line="240" w:lineRule="auto" w:after="40"/>
              <w:jc w:val="center"/>
            </w:pPr>
            <w:r>
              <w:rPr>
                <w:b/>
                <w:sz w:val="19"/>
              </w:rPr>
              <w:t xml:space="preserve">Year 2</w:t>
            </w:r>
          </w:p>
        </w:tc>
        <w:tc>
          <w:tcPr>
            <w:tcW w:type="dxa" w:w="944"/>
          </w:tcPr>
          <w:p>
            <w:pPr>
              <w:pStyle w:val="Compact"/>
              <w:spacing w:line="240" w:lineRule="auto" w:after="40"/>
              <w:jc w:val="center"/>
            </w:pPr>
            <w:r>
              <w:rPr>
                <w:b/>
                <w:sz w:val="19"/>
              </w:rPr>
              <w:t xml:space="preserve">Year 3</w:t>
            </w:r>
          </w:p>
        </w:tc>
      </w:tr>
      <w:tr>
        <w:tc>
          <w:tcPr>
            <w:tcW w:type="dxa" w:w="6196"/>
          </w:tcPr>
          <w:p>
            <w:pPr>
              <w:pStyle w:val="Compact"/>
              <w:spacing w:line="240" w:lineRule="auto" w:after="40"/>
              <w:jc w:val="left"/>
            </w:pPr>
            <w:r>
              <w:rPr>
                <w:sz w:val="19"/>
              </w:rPr>
              <w:t xml:space="preserve">Development team (3 engineers)</w:t>
            </w:r>
          </w:p>
        </w:tc>
        <w:tc>
          <w:tcPr>
            <w:tcW w:type="dxa" w:w="944"/>
          </w:tcPr>
          <w:p>
            <w:pPr>
              <w:pStyle w:val="Compact"/>
              <w:spacing w:line="240" w:lineRule="auto" w:after="40"/>
              <w:jc w:val="center"/>
            </w:pPr>
            <w:r>
              <w:rPr>
                <w:sz w:val="19"/>
              </w:rPr>
              <w:t xml:space="preserve">25</w:t>
            </w:r>
          </w:p>
        </w:tc>
        <w:tc>
          <w:tcPr>
            <w:tcW w:type="dxa" w:w="944"/>
          </w:tcPr>
          <w:p>
            <w:pPr>
              <w:pStyle w:val="Compact"/>
              <w:spacing w:line="240" w:lineRule="auto" w:after="40"/>
              <w:jc w:val="center"/>
            </w:pPr>
            <w:r>
              <w:rPr>
                <w:sz w:val="19"/>
              </w:rPr>
              <w:t xml:space="preserve">25</w:t>
            </w:r>
          </w:p>
        </w:tc>
        <w:tc>
          <w:tcPr>
            <w:tcW w:type="dxa" w:w="944"/>
          </w:tcPr>
          <w:p>
            <w:pPr>
              <w:pStyle w:val="Compact"/>
              <w:spacing w:line="240" w:lineRule="auto" w:after="40"/>
              <w:jc w:val="center"/>
            </w:pPr>
            <w:r>
              <w:rPr>
                <w:sz w:val="19"/>
              </w:rPr>
              <w:t xml:space="preserve">30</w:t>
            </w:r>
          </w:p>
        </w:tc>
      </w:tr>
      <w:tr>
        <w:tc>
          <w:tcPr>
            <w:tcW w:type="dxa" w:w="6196"/>
          </w:tcPr>
          <w:p>
            <w:pPr>
              <w:pStyle w:val="Compact"/>
              <w:spacing w:line="240" w:lineRule="auto" w:after="40"/>
              <w:jc w:val="left"/>
            </w:pPr>
            <w:r>
              <w:rPr>
                <w:sz w:val="19"/>
              </w:rPr>
              <w:t xml:space="preserve">Clinical validation study</w:t>
            </w:r>
          </w:p>
        </w:tc>
        <w:tc>
          <w:tcPr>
            <w:tcW w:type="dxa" w:w="944"/>
          </w:tcPr>
          <w:p>
            <w:pPr>
              <w:pStyle w:val="Compact"/>
              <w:spacing w:line="240" w:lineRule="auto" w:after="40"/>
              <w:jc w:val="center"/>
            </w:pPr>
            <w:r>
              <w:rPr>
                <w:sz w:val="19"/>
              </w:rPr>
              <w:t xml:space="preserve">20</w:t>
            </w:r>
          </w:p>
        </w:tc>
        <w:tc>
          <w:tcPr>
            <w:tcW w:type="dxa" w:w="944"/>
          </w:tcPr>
          <w:p>
            <w:pPr>
              <w:pStyle w:val="Compact"/>
              <w:spacing w:line="240" w:lineRule="auto" w:after="40"/>
              <w:jc w:val="center"/>
            </w:pPr>
            <w:r>
              <w:rPr>
                <w:sz w:val="19"/>
              </w:rPr>
              <w:t xml:space="preserve">10</w:t>
            </w:r>
          </w:p>
        </w:tc>
        <w:tc>
          <w:tcPr>
            <w:tcW w:type="dxa" w:w="944"/>
          </w:tcPr>
          <w:p>
            <w:pPr>
              <w:pStyle w:val="Compact"/>
              <w:spacing w:line="240" w:lineRule="auto" w:after="40"/>
              <w:jc w:val="center"/>
            </w:pPr>
            <w:r>
              <w:rPr>
                <w:sz w:val="19"/>
              </w:rPr>
              <w:t xml:space="preserve">–</w:t>
            </w:r>
          </w:p>
        </w:tc>
      </w:tr>
      <w:tr>
        <w:tc>
          <w:tcPr>
            <w:tcW w:type="dxa" w:w="6196"/>
          </w:tcPr>
          <w:p>
            <w:pPr>
              <w:pStyle w:val="Compact"/>
              <w:spacing w:line="240" w:lineRule="auto" w:after="40"/>
              <w:jc w:val="left"/>
            </w:pPr>
            <w:r>
              <w:rPr>
                <w:sz w:val="19"/>
              </w:rPr>
              <w:t xml:space="preserve">Regulatory registration and quality system</w:t>
            </w:r>
          </w:p>
        </w:tc>
        <w:tc>
          <w:tcPr>
            <w:tcW w:type="dxa" w:w="944"/>
          </w:tcPr>
          <w:p>
            <w:pPr>
              <w:pStyle w:val="Compact"/>
              <w:spacing w:line="240" w:lineRule="auto" w:after="40"/>
              <w:jc w:val="center"/>
            </w:pPr>
            <w:r>
              <w:rPr>
                <w:sz w:val="19"/>
              </w:rPr>
              <w:t xml:space="preserve">8</w:t>
            </w:r>
          </w:p>
        </w:tc>
        <w:tc>
          <w:tcPr>
            <w:tcW w:type="dxa" w:w="944"/>
          </w:tcPr>
          <w:p>
            <w:pPr>
              <w:pStyle w:val="Compact"/>
              <w:spacing w:line="240" w:lineRule="auto" w:after="40"/>
              <w:jc w:val="center"/>
            </w:pPr>
            <w:r>
              <w:rPr>
                <w:sz w:val="19"/>
              </w:rPr>
              <w:t xml:space="preserve">4</w:t>
            </w:r>
          </w:p>
        </w:tc>
        <w:tc>
          <w:tcPr>
            <w:tcW w:type="dxa" w:w="944"/>
          </w:tcPr>
          <w:p>
            <w:pPr>
              <w:pStyle w:val="Compact"/>
              <w:spacing w:line="240" w:lineRule="auto" w:after="40"/>
              <w:jc w:val="center"/>
            </w:pPr>
            <w:r>
              <w:rPr>
                <w:sz w:val="19"/>
              </w:rPr>
              <w:t xml:space="preserve">4</w:t>
            </w:r>
          </w:p>
        </w:tc>
      </w:tr>
      <w:tr>
        <w:tc>
          <w:tcPr>
            <w:tcW w:type="dxa" w:w="6196"/>
          </w:tcPr>
          <w:p>
            <w:pPr>
              <w:pStyle w:val="Compact"/>
              <w:spacing w:line="240" w:lineRule="auto" w:after="40"/>
              <w:jc w:val="left"/>
            </w:pPr>
            <w:r>
              <w:rPr>
                <w:sz w:val="19"/>
              </w:rPr>
              <w:t xml:space="preserve">Cloud / GPU and hosting</w:t>
            </w:r>
          </w:p>
        </w:tc>
        <w:tc>
          <w:tcPr>
            <w:tcW w:type="dxa" w:w="944"/>
          </w:tcPr>
          <w:p>
            <w:pPr>
              <w:pStyle w:val="Compact"/>
              <w:spacing w:line="240" w:lineRule="auto" w:after="40"/>
              <w:jc w:val="center"/>
            </w:pPr>
            <w:r>
              <w:rPr>
                <w:sz w:val="19"/>
              </w:rPr>
              <w:t xml:space="preserve">3</w:t>
            </w:r>
          </w:p>
        </w:tc>
        <w:tc>
          <w:tcPr>
            <w:tcW w:type="dxa" w:w="944"/>
          </w:tcPr>
          <w:p>
            <w:pPr>
              <w:pStyle w:val="Compact"/>
              <w:spacing w:line="240" w:lineRule="auto" w:after="40"/>
              <w:jc w:val="center"/>
            </w:pPr>
            <w:r>
              <w:rPr>
                <w:sz w:val="19"/>
              </w:rPr>
              <w:t xml:space="preserve">5</w:t>
            </w:r>
          </w:p>
        </w:tc>
        <w:tc>
          <w:tcPr>
            <w:tcW w:type="dxa" w:w="944"/>
          </w:tcPr>
          <w:p>
            <w:pPr>
              <w:pStyle w:val="Compact"/>
              <w:spacing w:line="240" w:lineRule="auto" w:after="40"/>
              <w:jc w:val="center"/>
            </w:pPr>
            <w:r>
              <w:rPr>
                <w:sz w:val="19"/>
              </w:rPr>
              <w:t xml:space="preserve">8</w:t>
            </w:r>
          </w:p>
        </w:tc>
      </w:tr>
      <w:tr>
        <w:tc>
          <w:tcPr>
            <w:tcW w:type="dxa" w:w="6196"/>
          </w:tcPr>
          <w:p>
            <w:pPr>
              <w:pStyle w:val="Compact"/>
              <w:spacing w:line="240" w:lineRule="auto" w:after="40"/>
              <w:jc w:val="left"/>
            </w:pPr>
            <w:r>
              <w:rPr>
                <w:sz w:val="19"/>
              </w:rPr>
              <w:t xml:space="preserve">Marketing and training</w:t>
            </w:r>
          </w:p>
        </w:tc>
        <w:tc>
          <w:tcPr>
            <w:tcW w:type="dxa" w:w="944"/>
          </w:tcPr>
          <w:p>
            <w:pPr>
              <w:pStyle w:val="Compact"/>
              <w:spacing w:line="240" w:lineRule="auto" w:after="40"/>
              <w:jc w:val="center"/>
            </w:pPr>
            <w:r>
              <w:rPr>
                <w:sz w:val="19"/>
              </w:rPr>
              <w:t xml:space="preserve">2</w:t>
            </w:r>
          </w:p>
        </w:tc>
        <w:tc>
          <w:tcPr>
            <w:tcW w:type="dxa" w:w="944"/>
          </w:tcPr>
          <w:p>
            <w:pPr>
              <w:pStyle w:val="Compact"/>
              <w:spacing w:line="240" w:lineRule="auto" w:after="40"/>
              <w:jc w:val="center"/>
            </w:pPr>
            <w:r>
              <w:rPr>
                <w:sz w:val="19"/>
              </w:rPr>
              <w:t xml:space="preserve">6</w:t>
            </w:r>
          </w:p>
        </w:tc>
        <w:tc>
          <w:tcPr>
            <w:tcW w:type="dxa" w:w="944"/>
          </w:tcPr>
          <w:p>
            <w:pPr>
              <w:pStyle w:val="Compact"/>
              <w:spacing w:line="240" w:lineRule="auto" w:after="40"/>
              <w:jc w:val="center"/>
            </w:pPr>
            <w:r>
              <w:rPr>
                <w:sz w:val="19"/>
              </w:rPr>
              <w:t xml:space="preserve">8</w:t>
            </w:r>
          </w:p>
        </w:tc>
      </w:tr>
      <w:tr>
        <w:tc>
          <w:tcPr>
            <w:tcW w:type="dxa" w:w="6196"/>
          </w:tcPr>
          <w:p>
            <w:pPr>
              <w:pStyle w:val="Compact"/>
              <w:spacing w:line="240" w:lineRule="auto" w:after="40"/>
              <w:jc w:val="left"/>
            </w:pPr>
            <w:r>
              <w:rPr>
                <w:bCs/>
                <w:b/>
                <w:sz w:val="19"/>
              </w:rPr>
              <w:t xml:space="preserve">Total expenses</w:t>
            </w:r>
          </w:p>
        </w:tc>
        <w:tc>
          <w:tcPr>
            <w:tcW w:type="dxa" w:w="944"/>
          </w:tcPr>
          <w:p>
            <w:pPr>
              <w:pStyle w:val="Compact"/>
              <w:spacing w:line="240" w:lineRule="auto" w:after="40"/>
              <w:jc w:val="center"/>
            </w:pPr>
            <w:r>
              <w:rPr>
                <w:bCs/>
                <w:b/>
                <w:sz w:val="19"/>
              </w:rPr>
              <w:t xml:space="preserve">58</w:t>
            </w:r>
          </w:p>
        </w:tc>
        <w:tc>
          <w:tcPr>
            <w:tcW w:type="dxa" w:w="944"/>
          </w:tcPr>
          <w:p>
            <w:pPr>
              <w:pStyle w:val="Compact"/>
              <w:spacing w:line="240" w:lineRule="auto" w:after="40"/>
              <w:jc w:val="center"/>
            </w:pPr>
            <w:r>
              <w:rPr>
                <w:bCs/>
                <w:b/>
                <w:sz w:val="19"/>
              </w:rPr>
              <w:t xml:space="preserve">50</w:t>
            </w:r>
          </w:p>
        </w:tc>
        <w:tc>
          <w:tcPr>
            <w:tcW w:type="dxa" w:w="944"/>
          </w:tcPr>
          <w:p>
            <w:pPr>
              <w:pStyle w:val="Compact"/>
              <w:spacing w:line="240" w:lineRule="auto" w:after="40"/>
              <w:jc w:val="center"/>
            </w:pPr>
            <w:r>
              <w:rPr>
                <w:bCs/>
                <w:b/>
                <w:sz w:val="19"/>
              </w:rPr>
              <w:t xml:space="preserve">50</w:t>
            </w:r>
          </w:p>
        </w:tc>
      </w:tr>
      <w:tr>
        <w:tc>
          <w:tcPr>
            <w:tcW w:type="dxa" w:w="6196"/>
          </w:tcPr>
          <w:p>
            <w:pPr>
              <w:pStyle w:val="Compact"/>
              <w:spacing w:line="240" w:lineRule="auto" w:after="40"/>
              <w:jc w:val="left"/>
            </w:pPr>
            <w:r>
              <w:rPr>
                <w:sz w:val="19"/>
              </w:rPr>
              <w:t xml:space="preserve">Net cash flow</w:t>
            </w:r>
          </w:p>
        </w:tc>
        <w:tc>
          <w:tcPr>
            <w:tcW w:type="dxa" w:w="944"/>
          </w:tcPr>
          <w:p>
            <w:pPr>
              <w:pStyle w:val="Compact"/>
              <w:spacing w:line="240" w:lineRule="auto" w:after="40"/>
              <w:jc w:val="center"/>
            </w:pPr>
            <m:oMath>
              <m:r>
                <m:rPr>
                  <m:sty m:val="p"/>
                </m:rPr>
                <m:t>−</m:t>
              </m:r>
              <m:r>
                <m:t>58</m:t>
              </m:r>
            </m:oMath>
          </w:p>
        </w:tc>
        <w:tc>
          <w:tcPr>
            <w:tcW w:type="dxa" w:w="944"/>
          </w:tcPr>
          <w:p>
            <w:pPr>
              <w:pStyle w:val="Compact"/>
              <w:spacing w:line="240" w:lineRule="auto" w:after="40"/>
              <w:jc w:val="center"/>
            </w:pPr>
            <m:oMath>
              <m:r>
                <m:rPr>
                  <m:sty m:val="p"/>
                </m:rPr>
                <m:t>−</m:t>
              </m:r>
              <m:r>
                <m:t>14</m:t>
              </m:r>
            </m:oMath>
          </w:p>
        </w:tc>
        <w:tc>
          <w:tcPr>
            <w:tcW w:type="dxa" w:w="944"/>
          </w:tcPr>
          <w:p>
            <w:pPr>
              <w:pStyle w:val="Compact"/>
              <w:spacing w:line="240" w:lineRule="auto" w:after="40"/>
              <w:jc w:val="center"/>
            </w:pPr>
            <m:oMath>
              <m:r>
                <m:rPr>
                  <m:sty m:val="p"/>
                </m:rPr>
                <m:t>+</m:t>
              </m:r>
              <m:r>
                <m:t>58</m:t>
              </m:r>
            </m:oMath>
          </w:p>
        </w:tc>
      </w:tr>
      <w:tr>
        <w:tc>
          <w:tcPr>
            <w:tcW w:type="dxa" w:w="6196"/>
          </w:tcPr>
          <w:p>
            <w:pPr>
              <w:pStyle w:val="Compact"/>
              <w:spacing w:line="240" w:lineRule="auto" w:after="40"/>
              <w:jc w:val="left"/>
            </w:pPr>
            <w:r>
              <w:rPr>
                <w:bCs/>
                <w:b/>
                <w:sz w:val="19"/>
              </w:rPr>
              <w:t xml:space="preserve">Cumulative cash flow</w:t>
            </w:r>
          </w:p>
        </w:tc>
        <w:tc>
          <w:tcPr>
            <w:tcW w:type="dxa" w:w="944"/>
          </w:tcPr>
          <w:p>
            <w:pPr>
              <w:pStyle w:val="Compact"/>
              <w:spacing w:line="240" w:lineRule="auto" w:after="40"/>
              <w:jc w:val="center"/>
            </w:pPr>
            <m:oMath>
              <m:r>
                <m:rPr>
                  <m:sty m:val="b"/>
                </m:rPr>
                <m:t>−</m:t>
              </m:r>
              <m:r>
                <m:rPr>
                  <m:sty m:val="b"/>
                </m:rPr>
                <m:t>58</m:t>
              </m:r>
            </m:oMath>
          </w:p>
        </w:tc>
        <w:tc>
          <w:tcPr>
            <w:tcW w:type="dxa" w:w="944"/>
          </w:tcPr>
          <w:p>
            <w:pPr>
              <w:pStyle w:val="Compact"/>
              <w:spacing w:line="240" w:lineRule="auto" w:after="40"/>
              <w:jc w:val="center"/>
            </w:pPr>
            <m:oMath>
              <m:r>
                <m:rPr>
                  <m:sty m:val="b"/>
                </m:rPr>
                <m:t>−</m:t>
              </m:r>
              <m:r>
                <m:rPr>
                  <m:sty m:val="b"/>
                </m:rPr>
                <m:t>72</m:t>
              </m:r>
            </m:oMath>
          </w:p>
        </w:tc>
        <w:tc>
          <w:tcPr>
            <w:tcW w:type="dxa" w:w="944"/>
          </w:tcPr>
          <w:p>
            <w:pPr>
              <w:pStyle w:val="Compact"/>
              <w:spacing w:line="240" w:lineRule="auto" w:after="40"/>
              <w:jc w:val="center"/>
            </w:pPr>
            <m:oMath>
              <m:r>
                <m:rPr>
                  <m:sty m:val="b"/>
                </m:rPr>
                <m:t>−</m:t>
              </m:r>
              <m:r>
                <m:rPr>
                  <m:sty m:val="b"/>
                </m:rPr>
                <m:t>14</m:t>
              </m:r>
            </m:oMath>
          </w:p>
        </w:tc>
      </w:tr>
    </w:tbl>
    <w:p>
      <w:pPr>
        <w:pStyle w:val="BodyText"/>
      </w:pPr>
      <w:r>
        <w:t xml:space="preserve">Under these assumptions the venture breaks even early in year four. The largest uncertainty is the cost and duration of clinical validation, which is why a partnership with a public hospital is the first step.</w:t>
      </w:r>
    </w:p>
    <w:bookmarkEnd w:id="208"/>
    <w:bookmarkStart w:id="211" w:name="complex-engineering-problem"/>
    <w:p>
      <w:pPr>
        <w:pStyle w:val="Heading2"/>
      </w:pPr>
      <w:r>
        <w:t xml:space="preserve">5.4 Complex Engineering Problem</w:t>
      </w:r>
    </w:p>
    <w:p>
      <w:pPr>
        <w:pStyle w:val="FirstParagraph"/>
      </w:pPr>
      <w:r>
        <w:t xml:space="preserve">MedLift-3D is a complex engineering problem: it is ill-posed by physics, combines X-ray physics, generative AI and statistics, has conflicting requirements (dose, accuracy, honesty, cost), and has direct consequences for patients.</w:t>
      </w:r>
    </w:p>
    <w:bookmarkStart w:id="209" w:name="complex-problem-solving"/>
    <w:p>
      <w:pPr>
        <w:pStyle w:val="Heading3"/>
      </w:pPr>
      <w:r>
        <w:t xml:space="preserve">5.4.1 Complex Problem Solving</w:t>
      </w:r>
    </w:p>
    <w:p>
      <w:pPr>
        <w:pStyle w:val="FirstParagraph"/>
        <w:jc w:val="center"/>
      </w:pPr>
      <w:r>
        <w:rPr>
          <w:bCs/>
          <w:b/>
          <w:iCs/>
          <w:i/>
          <w:sz w:val="20"/>
        </w:rPr>
        <w:t xml:space="preserve">Table 5.8:</w:t>
      </w:r>
      <w:r>
        <w:rPr>
          <w:iCs/>
          <w:i/>
          <w:sz w:val="20"/>
        </w:rPr>
        <w:t xml:space="preserve"> </w:t>
      </w:r>
      <w:r>
        <w:rPr>
          <w:iCs/>
          <w:i/>
          <w:sz w:val="20"/>
        </w:rPr>
        <w:t xml:space="preserve">Mapping with complex problem solving.</w:t>
      </w:r>
    </w:p>
    <w:tbl>
      <w:tblPr>
        <w:tblStyle w:val="Table"/>
        <w:tblW w:type="auto" w:w="0"/>
        <w:tblLook w:firstRow="1" w:lastRow="0" w:firstColumn="0" w:lastColumn="0" w:noHBand="0" w:noVBand="0" w:val="0020"/>
        <w:jc w:val="start"/>
        <w:tblBorders>
          <w:top w:val="single" w:sz="12" w:color="000000"/>
          <w:bottom w:val="single" w:sz="12" w:color="000000"/>
          <w:insideH w:val="single" w:sz="6" w:color="808080"/>
        </w:tblBorders>
      </w:tblPr>
      <w:tblGrid>
        <w:gridCol w:w="1077"/>
        <w:gridCol w:w="1846"/>
        <w:gridCol w:w="1026"/>
        <w:gridCol w:w="1231"/>
        <w:gridCol w:w="1487"/>
        <w:gridCol w:w="1333"/>
        <w:gridCol w:w="1026"/>
      </w:tblGrid>
      <w:tr>
        <w:trPr>
          <w:tblHeader w:val="true"/>
        </w:trPr>
        <w:tc>
          <w:tcPr>
            <w:tcW w:type="dxa" w:w="1077"/>
          </w:tcPr>
          <w:p>
            <w:pPr>
              <w:pStyle w:val="Compact"/>
              <w:spacing w:line="240" w:lineRule="auto" w:after="40"/>
              <w:jc w:val="center"/>
            </w:pPr>
            <w:r>
              <w:rPr>
                <w:b/>
                <w:sz w:val="19"/>
              </w:rPr>
              <w:t xml:space="preserve">P1 Depth of knowledge</w:t>
            </w:r>
          </w:p>
        </w:tc>
        <w:tc>
          <w:tcPr>
            <w:tcW w:type="dxa" w:w="1847"/>
          </w:tcPr>
          <w:p>
            <w:pPr>
              <w:pStyle w:val="Compact"/>
              <w:spacing w:line="240" w:lineRule="auto" w:after="40"/>
              <w:jc w:val="center"/>
            </w:pPr>
            <w:r>
              <w:rPr>
                <w:b/>
                <w:sz w:val="19"/>
              </w:rPr>
              <w:t xml:space="preserve">P2 Range of conflicting requirements</w:t>
            </w:r>
          </w:p>
        </w:tc>
        <w:tc>
          <w:tcPr>
            <w:tcW w:type="dxa" w:w="1026"/>
          </w:tcPr>
          <w:p>
            <w:pPr>
              <w:pStyle w:val="Compact"/>
              <w:spacing w:line="240" w:lineRule="auto" w:after="40"/>
              <w:jc w:val="center"/>
            </w:pPr>
            <w:r>
              <w:rPr>
                <w:b/>
                <w:sz w:val="19"/>
              </w:rPr>
              <w:t xml:space="preserve">P3 Depth of analysis</w:t>
            </w:r>
          </w:p>
        </w:tc>
        <w:tc>
          <w:tcPr>
            <w:tcW w:type="dxa" w:w="1231"/>
          </w:tcPr>
          <w:p>
            <w:pPr>
              <w:pStyle w:val="Compact"/>
              <w:spacing w:line="240" w:lineRule="auto" w:after="40"/>
              <w:jc w:val="center"/>
            </w:pPr>
            <w:r>
              <w:rPr>
                <w:b/>
                <w:sz w:val="19"/>
              </w:rPr>
              <w:t xml:space="preserve">P4 Familiarity of issues</w:t>
            </w:r>
          </w:p>
        </w:tc>
        <w:tc>
          <w:tcPr>
            <w:tcW w:type="dxa" w:w="1488"/>
          </w:tcPr>
          <w:p>
            <w:pPr>
              <w:pStyle w:val="Compact"/>
              <w:spacing w:line="240" w:lineRule="auto" w:after="40"/>
              <w:jc w:val="center"/>
            </w:pPr>
            <w:r>
              <w:rPr>
                <w:b/>
                <w:sz w:val="19"/>
              </w:rPr>
              <w:t xml:space="preserve">P5 Extent of applicable codes</w:t>
            </w:r>
          </w:p>
        </w:tc>
        <w:tc>
          <w:tcPr>
            <w:tcW w:type="dxa" w:w="1334"/>
          </w:tcPr>
          <w:p>
            <w:pPr>
              <w:pStyle w:val="Compact"/>
              <w:spacing w:line="240" w:lineRule="auto" w:after="40"/>
              <w:jc w:val="center"/>
            </w:pPr>
            <w:r>
              <w:rPr>
                <w:b/>
                <w:sz w:val="19"/>
              </w:rPr>
              <w:t xml:space="preserve">P6 Stakeholder involvement</w:t>
            </w:r>
          </w:p>
        </w:tc>
        <w:tc>
          <w:tcPr>
            <w:tcW w:type="dxa" w:w="1026"/>
          </w:tcPr>
          <w:p>
            <w:pPr>
              <w:pStyle w:val="Compact"/>
              <w:spacing w:line="240" w:lineRule="auto" w:after="40"/>
              <w:jc w:val="center"/>
            </w:pPr>
            <w:r>
              <w:rPr>
                <w:b/>
                <w:sz w:val="19"/>
              </w:rPr>
              <w:t xml:space="preserve">P7 Inter- dependence</w:t>
            </w:r>
          </w:p>
        </w:tc>
      </w:tr>
      <w:tr>
        <w:tc>
          <w:tcPr>
            <w:tcW w:type="dxa" w:w="1077"/>
          </w:tcPr>
          <w:p>
            <w:pPr>
              <w:pStyle w:val="Compact"/>
              <w:spacing w:line="240" w:lineRule="auto" w:after="40"/>
              <w:jc w:val="center"/>
            </w:pPr>
            <w:r>
              <w:rPr>
                <w:sz w:val="19"/>
              </w:rPr>
              <w:t xml:space="preserve">✓</w:t>
            </w:r>
          </w:p>
        </w:tc>
        <w:tc>
          <w:tcPr>
            <w:tcW w:type="dxa" w:w="1847"/>
          </w:tcPr>
          <w:p>
            <w:pPr>
              <w:pStyle w:val="Compact"/>
              <w:spacing w:line="240" w:lineRule="auto" w:after="40"/>
              <w:jc w:val="center"/>
            </w:pPr>
            <w:r>
              <w:rPr>
                <w:sz w:val="19"/>
              </w:rPr>
              <w:t xml:space="preserve">✓</w:t>
            </w:r>
          </w:p>
        </w:tc>
        <w:tc>
          <w:tcPr>
            <w:tcW w:type="dxa" w:w="1026"/>
          </w:tcPr>
          <w:p>
            <w:pPr>
              <w:pStyle w:val="Compact"/>
              <w:spacing w:line="240" w:lineRule="auto" w:after="40"/>
              <w:jc w:val="center"/>
            </w:pPr>
            <w:r>
              <w:rPr>
                <w:sz w:val="19"/>
              </w:rPr>
              <w:t xml:space="preserve">✓</w:t>
            </w:r>
          </w:p>
        </w:tc>
        <w:tc>
          <w:tcPr>
            <w:tcW w:type="dxa" w:w="1231"/>
          </w:tcPr>
          <w:p>
            <w:pPr>
              <w:pStyle w:val="Compact"/>
              <w:spacing w:line="240" w:lineRule="auto" w:after="40"/>
              <w:jc w:val="center"/>
            </w:pPr>
            <w:r>
              <w:rPr>
                <w:sz w:val="19"/>
              </w:rPr>
              <w:t xml:space="preserve">✓</w:t>
            </w:r>
          </w:p>
        </w:tc>
        <w:tc>
          <w:tcPr>
            <w:tcW w:type="dxa" w:w="1488"/>
          </w:tcPr>
          <w:p>
            <w:pPr>
              <w:pStyle w:val="Compact"/>
              <w:spacing w:line="240" w:lineRule="auto" w:after="40"/>
              <w:jc w:val="center"/>
            </w:pPr>
            <w:r>
              <w:rPr>
                <w:sz w:val="19"/>
              </w:rPr>
              <w:t xml:space="preserve">✓</w:t>
            </w:r>
          </w:p>
        </w:tc>
        <w:tc>
          <w:tcPr>
            <w:tcW w:type="dxa" w:w="1334"/>
          </w:tcPr>
          <w:p>
            <w:pPr>
              <w:pStyle w:val="Compact"/>
              <w:spacing w:line="240" w:lineRule="auto" w:after="40"/>
              <w:jc w:val="center"/>
            </w:pPr>
            <m:oMath>
              <m:r>
                <m:rPr>
                  <m:sty m:val="p"/>
                </m:rPr>
                <m:t>∘</m:t>
              </m:r>
            </m:oMath>
          </w:p>
        </w:tc>
        <w:tc>
          <w:tcPr>
            <w:tcW w:type="dxa" w:w="1026"/>
          </w:tcPr>
          <w:p>
            <w:pPr>
              <w:pStyle w:val="Compact"/>
              <w:spacing w:line="240" w:lineRule="auto" w:after="40"/>
              <w:jc w:val="center"/>
            </w:pPr>
            <w:r>
              <w:rPr>
                <w:sz w:val="19"/>
              </w:rPr>
              <w:t xml:space="preserve">✓</w:t>
            </w:r>
          </w:p>
        </w:tc>
      </w:tr>
    </w:tbl>
    <w:p>
      <w:pPr>
        <w:pStyle w:val="BodyText"/>
      </w:pPr>
      <w:r>
        <w:rPr>
          <w:bCs/>
          <w:b/>
        </w:rPr>
        <w:t xml:space="preserve">P1 – Depth of knowledge.</w:t>
      </w:r>
      <w:r>
        <w:t xml:space="preserve"> </w:t>
      </w:r>
      <w:r>
        <w:t xml:space="preserve">The solution requires X-ray projection physics, linear algebra of range and null spaces, probabilistic diffusion models, conformal statistics and 3D deep learning, beyond the standard curriculum. Table 5.9 maps the knowledge profiles.</w:t>
      </w:r>
    </w:p>
    <w:p>
      <w:pPr>
        <w:pStyle w:val="BodyText"/>
        <w:jc w:val="center"/>
      </w:pPr>
      <w:r>
        <w:rPr>
          <w:bCs/>
          <w:b/>
          <w:iCs/>
          <w:i/>
          <w:sz w:val="20"/>
        </w:rPr>
        <w:t xml:space="preserve">Table 5.9:</w:t>
      </w:r>
      <w:r>
        <w:rPr>
          <w:iCs/>
          <w:i/>
          <w:sz w:val="20"/>
        </w:rPr>
        <w:t xml:space="preserve"> </w:t>
      </w:r>
      <w:r>
        <w:rPr>
          <w:iCs/>
          <w:i/>
          <w:sz w:val="20"/>
        </w:rPr>
        <w:t xml:space="preserve">Knowledge profile mapping for P1.</w:t>
      </w:r>
    </w:p>
    <w:tbl>
      <w:tblPr>
        <w:tblStyle w:val="Table"/>
        <w:tblW w:type="auto" w:w="0"/>
        <w:tblLook w:firstRow="1" w:lastRow="0" w:firstColumn="0" w:lastColumn="0" w:noHBand="0" w:noVBand="0" w:val="0020"/>
        <w:jc w:val="start"/>
        <w:tblBorders>
          <w:top w:val="single" w:sz="12" w:color="000000"/>
          <w:bottom w:val="single" w:sz="12" w:color="000000"/>
          <w:insideH w:val="single" w:sz="6" w:color="808080"/>
        </w:tblBorders>
      </w:tblPr>
      <w:tblGrid>
        <w:gridCol w:w="2872"/>
        <w:gridCol w:w="6156"/>
      </w:tblGrid>
      <w:tr>
        <w:trPr>
          <w:tblHeader w:val="true"/>
        </w:trPr>
        <w:tc>
          <w:tcPr>
            <w:tcW w:type="dxa" w:w="2873"/>
          </w:tcPr>
          <w:p>
            <w:pPr>
              <w:pStyle w:val="Compact"/>
              <w:spacing w:line="240" w:lineRule="auto" w:after="40"/>
              <w:jc w:val="left"/>
            </w:pPr>
            <w:r>
              <w:rPr>
                <w:b/>
                <w:sz w:val="19"/>
              </w:rPr>
              <w:t xml:space="preserve">Knowledge profile</w:t>
            </w:r>
          </w:p>
        </w:tc>
        <w:tc>
          <w:tcPr>
            <w:tcW w:type="dxa" w:w="6156"/>
          </w:tcPr>
          <w:p>
            <w:pPr>
              <w:pStyle w:val="Compact"/>
              <w:spacing w:line="240" w:lineRule="auto" w:after="40"/>
              <w:jc w:val="left"/>
            </w:pPr>
            <w:r>
              <w:rPr>
                <w:b/>
                <w:sz w:val="19"/>
              </w:rPr>
              <w:t xml:space="preserve">Where it is used</w:t>
            </w:r>
          </w:p>
        </w:tc>
      </w:tr>
      <w:tr>
        <w:tc>
          <w:tcPr>
            <w:tcW w:type="dxa" w:w="2873"/>
          </w:tcPr>
          <w:p>
            <w:pPr>
              <w:pStyle w:val="Compact"/>
              <w:spacing w:line="240" w:lineRule="auto" w:after="40"/>
              <w:jc w:val="left"/>
            </w:pPr>
            <w:r>
              <w:rPr>
                <w:sz w:val="19"/>
              </w:rPr>
              <w:t xml:space="preserve">WK1 Natural sciences</w:t>
            </w:r>
          </w:p>
        </w:tc>
        <w:tc>
          <w:tcPr>
            <w:tcW w:type="dxa" w:w="6156"/>
          </w:tcPr>
          <w:p>
            <w:pPr>
              <w:pStyle w:val="Compact"/>
              <w:spacing w:line="240" w:lineRule="auto" w:after="40"/>
              <w:jc w:val="left"/>
            </w:pPr>
            <w:r>
              <w:rPr>
                <w:sz w:val="19"/>
              </w:rPr>
              <w:t xml:space="preserve">X-ray attenuation, Poisson photon statistics, radiation dose</w:t>
            </w:r>
          </w:p>
        </w:tc>
      </w:tr>
      <w:tr>
        <w:tc>
          <w:tcPr>
            <w:tcW w:type="dxa" w:w="2873"/>
          </w:tcPr>
          <w:p>
            <w:pPr>
              <w:pStyle w:val="Compact"/>
              <w:spacing w:line="240" w:lineRule="auto" w:after="40"/>
              <w:jc w:val="left"/>
            </w:pPr>
            <w:r>
              <w:rPr>
                <w:sz w:val="19"/>
              </w:rPr>
              <w:t xml:space="preserve">WK2 Mathematics</w:t>
            </w:r>
          </w:p>
        </w:tc>
        <w:tc>
          <w:tcPr>
            <w:tcW w:type="dxa" w:w="6156"/>
          </w:tcPr>
          <w:p>
            <w:pPr>
              <w:pStyle w:val="Compact"/>
              <w:spacing w:line="240" w:lineRule="auto" w:after="40"/>
              <w:jc w:val="left"/>
            </w:pPr>
            <w:r>
              <w:rPr>
                <w:sz w:val="19"/>
              </w:rPr>
              <w:t xml:space="preserve">Projection moments and conditioning; CGLS; probability and exchangeability for conformal prediction</w:t>
            </w:r>
          </w:p>
        </w:tc>
      </w:tr>
      <w:tr>
        <w:tc>
          <w:tcPr>
            <w:tcW w:type="dxa" w:w="2873"/>
          </w:tcPr>
          <w:p>
            <w:pPr>
              <w:pStyle w:val="Compact"/>
              <w:spacing w:line="240" w:lineRule="auto" w:after="40"/>
              <w:jc w:val="left"/>
            </w:pPr>
            <w:r>
              <w:rPr>
                <w:sz w:val="19"/>
              </w:rPr>
              <w:t xml:space="preserve">WK3 Engineering fundamentals</w:t>
            </w:r>
          </w:p>
        </w:tc>
        <w:tc>
          <w:tcPr>
            <w:tcW w:type="dxa" w:w="6156"/>
          </w:tcPr>
          <w:p>
            <w:pPr>
              <w:pStyle w:val="Compact"/>
              <w:spacing w:line="240" w:lineRule="auto" w:after="40"/>
              <w:jc w:val="left"/>
            </w:pPr>
            <w:r>
              <w:rPr>
                <w:sz w:val="19"/>
              </w:rPr>
              <w:t xml:space="preserve">Numerical methods (SIRT, conjugate gradients), algorithms, data structures</w:t>
            </w:r>
          </w:p>
        </w:tc>
      </w:tr>
      <w:tr>
        <w:tc>
          <w:tcPr>
            <w:tcW w:type="dxa" w:w="2873"/>
          </w:tcPr>
          <w:p>
            <w:pPr>
              <w:pStyle w:val="Compact"/>
              <w:spacing w:line="240" w:lineRule="auto" w:after="40"/>
              <w:jc w:val="left"/>
            </w:pPr>
            <w:r>
              <w:rPr>
                <w:sz w:val="19"/>
              </w:rPr>
              <w:t xml:space="preserve">WK4 Specialist knowledge</w:t>
            </w:r>
          </w:p>
        </w:tc>
        <w:tc>
          <w:tcPr>
            <w:tcW w:type="dxa" w:w="6156"/>
          </w:tcPr>
          <w:p>
            <w:pPr>
              <w:pStyle w:val="Compact"/>
              <w:spacing w:line="240" w:lineRule="auto" w:after="40"/>
              <w:jc w:val="left"/>
            </w:pPr>
            <w:r>
              <w:rPr>
                <w:sz w:val="19"/>
              </w:rPr>
              <w:t xml:space="preserve">Tomography, diffusion models, 3D U-Nets, Gaussian representations</w:t>
            </w:r>
          </w:p>
        </w:tc>
      </w:tr>
      <w:tr>
        <w:tc>
          <w:tcPr>
            <w:tcW w:type="dxa" w:w="2873"/>
          </w:tcPr>
          <w:p>
            <w:pPr>
              <w:pStyle w:val="Compact"/>
              <w:spacing w:line="240" w:lineRule="auto" w:after="40"/>
              <w:jc w:val="left"/>
            </w:pPr>
            <w:r>
              <w:rPr>
                <w:sz w:val="19"/>
              </w:rPr>
              <w:t xml:space="preserve">WK5 Engineering design</w:t>
            </w:r>
          </w:p>
        </w:tc>
        <w:tc>
          <w:tcPr>
            <w:tcW w:type="dxa" w:w="6156"/>
          </w:tcPr>
          <w:p>
            <w:pPr>
              <w:pStyle w:val="Compact"/>
              <w:spacing w:line="240" w:lineRule="auto" w:after="40"/>
              <w:jc w:val="left"/>
            </w:pPr>
            <w:r>
              <w:rPr>
                <w:sz w:val="19"/>
              </w:rPr>
              <w:t xml:space="preserve">Requirements, prism design, verification steps, application</w:t>
            </w:r>
          </w:p>
        </w:tc>
      </w:tr>
      <w:tr>
        <w:tc>
          <w:tcPr>
            <w:tcW w:type="dxa" w:w="2873"/>
          </w:tcPr>
          <w:p>
            <w:pPr>
              <w:pStyle w:val="Compact"/>
              <w:spacing w:line="240" w:lineRule="auto" w:after="40"/>
              <w:jc w:val="left"/>
            </w:pPr>
            <w:r>
              <w:rPr>
                <w:sz w:val="19"/>
              </w:rPr>
              <w:t xml:space="preserve">WK6 Engineering practice</w:t>
            </w:r>
          </w:p>
        </w:tc>
        <w:tc>
          <w:tcPr>
            <w:tcW w:type="dxa" w:w="6156"/>
          </w:tcPr>
          <w:p>
            <w:pPr>
              <w:pStyle w:val="Compact"/>
              <w:spacing w:line="240" w:lineRule="auto" w:after="40"/>
              <w:jc w:val="left"/>
            </w:pPr>
            <w:r>
              <w:rPr>
                <w:sz w:val="19"/>
              </w:rPr>
              <w:t xml:space="preserve">Cloud GPU operation, testing, version control, reproducibility</w:t>
            </w:r>
          </w:p>
        </w:tc>
      </w:tr>
      <w:tr>
        <w:tc>
          <w:tcPr>
            <w:tcW w:type="dxa" w:w="2873"/>
          </w:tcPr>
          <w:p>
            <w:pPr>
              <w:pStyle w:val="Compact"/>
              <w:spacing w:line="240" w:lineRule="auto" w:after="40"/>
              <w:jc w:val="left"/>
            </w:pPr>
            <w:r>
              <w:rPr>
                <w:sz w:val="19"/>
              </w:rPr>
              <w:t xml:space="preserve">WK7 Engineering in society</w:t>
            </w:r>
          </w:p>
        </w:tc>
        <w:tc>
          <w:tcPr>
            <w:tcW w:type="dxa" w:w="6156"/>
          </w:tcPr>
          <w:p>
            <w:pPr>
              <w:pStyle w:val="Compact"/>
              <w:spacing w:line="240" w:lineRule="auto" w:after="40"/>
              <w:jc w:val="left"/>
            </w:pPr>
            <w:r>
              <w:rPr>
                <w:sz w:val="19"/>
              </w:rPr>
              <w:t xml:space="preserve">Radiation safety, regulation, ethics, cultural factors</w:t>
            </w:r>
          </w:p>
        </w:tc>
      </w:tr>
      <w:tr>
        <w:tc>
          <w:tcPr>
            <w:tcW w:type="dxa" w:w="2873"/>
          </w:tcPr>
          <w:p>
            <w:pPr>
              <w:pStyle w:val="Compact"/>
              <w:spacing w:line="240" w:lineRule="auto" w:after="40"/>
              <w:jc w:val="left"/>
            </w:pPr>
            <w:r>
              <w:rPr>
                <w:sz w:val="19"/>
              </w:rPr>
              <w:t xml:space="preserve">WK8 Research literature</w:t>
            </w:r>
          </w:p>
        </w:tc>
        <w:tc>
          <w:tcPr>
            <w:tcW w:type="dxa" w:w="6156"/>
          </w:tcPr>
          <w:p>
            <w:pPr>
              <w:pStyle w:val="Compact"/>
              <w:spacing w:line="240" w:lineRule="auto" w:after="40"/>
              <w:jc w:val="left"/>
            </w:pPr>
            <w:r>
              <w:rPr>
                <w:sz w:val="19"/>
              </w:rPr>
              <w:t xml:space="preserve">Literature on DTS, sparse-view CT, diffusion, Gaussians and conformal prediction</w:t>
            </w:r>
          </w:p>
        </w:tc>
      </w:tr>
    </w:tbl>
    <w:p>
      <w:pPr>
        <w:pStyle w:val="BodyText"/>
      </w:pPr>
      <w:r>
        <w:rPr>
          <w:bCs/>
          <w:b/>
        </w:rPr>
        <w:t xml:space="preserve">P2 – Range of conflicting requirements.</w:t>
      </w:r>
      <w:r>
        <w:t xml:space="preserve"> </w:t>
      </w:r>
      <w:r>
        <w:t xml:space="preserve">Dose vs accuracy, filling the missing wedge vs never inventing anatomy, single numbers vs honest intervals, memory vs field of view, and detection recall vs false positives (Table 3.2).</w:t>
      </w:r>
    </w:p>
    <w:p>
      <w:pPr>
        <w:pStyle w:val="BodyText"/>
      </w:pPr>
      <w:r>
        <w:rPr>
          <w:bCs/>
          <w:b/>
        </w:rPr>
        <w:t xml:space="preserve">P3 – Depth of analysis.</w:t>
      </w:r>
      <w:r>
        <w:t xml:space="preserve"> </w:t>
      </w:r>
      <w:r>
        <w:t xml:space="preserve">We derived from first principles which quantities DTS can measure, built a 583-patient virtual trial, and analysed calibration, size-group coverage and seen/unseen content rather than image quality alone.</w:t>
      </w:r>
    </w:p>
    <w:p>
      <w:pPr>
        <w:pStyle w:val="BodyText"/>
      </w:pPr>
      <w:r>
        <w:rPr>
          <w:bCs/>
          <w:b/>
        </w:rPr>
        <w:t xml:space="preserve">P4 – Familiarity of issues.</w:t>
      </w:r>
      <w:r>
        <w:t xml:space="preserve"> </w:t>
      </w:r>
      <w:r>
        <w:t xml:space="preserve">No standard solution exists for calibrated 3D nodule measurement from DTS; the combination of a data-consistent prior inside a DTS prism, Gaussian mass and conformal calibration had to be designed for this problem.</w:t>
      </w:r>
    </w:p>
    <w:p>
      <w:pPr>
        <w:pStyle w:val="BodyText"/>
      </w:pPr>
      <w:r>
        <w:rPr>
          <w:bCs/>
          <w:b/>
        </w:rPr>
        <w:t xml:space="preserve">P5 – Extent of applicable codes.</w:t>
      </w:r>
      <w:r>
        <w:t xml:space="preserve"> </w:t>
      </w:r>
      <w:r>
        <w:t xml:space="preserve">DICOM, IEC 62304, ISO 14971, data licences and medical device regulation (Table 5.1).</w:t>
      </w:r>
    </w:p>
    <w:p>
      <w:pPr>
        <w:pStyle w:val="BodyText"/>
      </w:pPr>
      <w:r>
        <w:rPr>
          <w:bCs/>
          <w:b/>
        </w:rPr>
        <w:t xml:space="preserve">P6 – Extent of stakeholder involvement (partial).</w:t>
      </w:r>
      <w:r>
        <w:t xml:space="preserve"> </w:t>
      </w:r>
      <w:r>
        <w:t xml:space="preserve">Clinical needs were taken from guidelines and supervisor feedback; direct evaluation by radiologists is future work.</w:t>
      </w:r>
    </w:p>
    <w:p>
      <w:pPr>
        <w:pStyle w:val="BodyText"/>
      </w:pPr>
      <w:r>
        <w:rPr>
          <w:bCs/>
          <w:b/>
        </w:rPr>
        <w:t xml:space="preserve">P7 – Interdependence.</w:t>
      </w:r>
      <w:r>
        <w:t xml:space="preserve"> </w:t>
      </w:r>
      <w:r>
        <w:t xml:space="preserve">Simulation, reconstruction, prior, Gaussians, calibration and detector depend on each other: the depth-support bug in reconstruction, for example, corrupted the training data and every downstream measurement until it was fixed.</w:t>
      </w:r>
    </w:p>
    <w:bookmarkEnd w:id="209"/>
    <w:bookmarkStart w:id="210" w:name="engineering-activities"/>
    <w:p>
      <w:pPr>
        <w:pStyle w:val="Heading3"/>
      </w:pPr>
      <w:r>
        <w:t xml:space="preserve">5.4.2 Engineering Activities</w:t>
      </w:r>
    </w:p>
    <w:p>
      <w:pPr>
        <w:pStyle w:val="FirstParagraph"/>
        <w:jc w:val="center"/>
      </w:pPr>
      <w:r>
        <w:rPr>
          <w:bCs/>
          <w:b/>
          <w:iCs/>
          <w:i/>
          <w:sz w:val="20"/>
        </w:rPr>
        <w:t xml:space="preserve">Table 5.10:</w:t>
      </w:r>
      <w:r>
        <w:rPr>
          <w:iCs/>
          <w:i/>
          <w:sz w:val="20"/>
        </w:rPr>
        <w:t xml:space="preserve"> </w:t>
      </w:r>
      <w:r>
        <w:rPr>
          <w:iCs/>
          <w:i/>
          <w:sz w:val="20"/>
        </w:rPr>
        <w:t xml:space="preserve">Mapping with complex engineering activities.</w:t>
      </w:r>
    </w:p>
    <w:tbl>
      <w:tblPr>
        <w:tblStyle w:val="Table"/>
        <w:tblW w:type="auto" w:w="0"/>
        <w:tblLook w:firstRow="1" w:lastRow="0" w:firstColumn="0" w:lastColumn="0" w:noHBand="0" w:noVBand="0" w:val="0020"/>
        <w:jc w:val="start"/>
        <w:tblBorders>
          <w:top w:val="single" w:sz="12" w:color="000000"/>
          <w:bottom w:val="single" w:sz="12" w:color="000000"/>
          <w:insideH w:val="single" w:sz="6" w:color="808080"/>
        </w:tblBorders>
      </w:tblPr>
      <w:tblGrid>
        <w:gridCol w:w="1572"/>
        <w:gridCol w:w="1721"/>
        <w:gridCol w:w="1197"/>
        <w:gridCol w:w="3219"/>
        <w:gridCol w:w="1317"/>
      </w:tblGrid>
      <w:tr>
        <w:trPr>
          <w:tblHeader w:val="true"/>
        </w:trPr>
        <w:tc>
          <w:tcPr>
            <w:tcW w:type="dxa" w:w="1572"/>
          </w:tcPr>
          <w:p>
            <w:pPr>
              <w:pStyle w:val="Compact"/>
              <w:spacing w:line="240" w:lineRule="auto" w:after="40"/>
              <w:jc w:val="center"/>
            </w:pPr>
            <w:r>
              <w:rPr>
                <w:b/>
                <w:sz w:val="19"/>
              </w:rPr>
              <w:t xml:space="preserve">A1 Range of resources</w:t>
            </w:r>
          </w:p>
        </w:tc>
        <w:tc>
          <w:tcPr>
            <w:tcW w:type="dxa" w:w="1722"/>
          </w:tcPr>
          <w:p>
            <w:pPr>
              <w:pStyle w:val="Compact"/>
              <w:spacing w:line="240" w:lineRule="auto" w:after="40"/>
              <w:jc w:val="center"/>
            </w:pPr>
            <w:r>
              <w:rPr>
                <w:b/>
                <w:sz w:val="19"/>
              </w:rPr>
              <w:t xml:space="preserve">A2 Level of interaction</w:t>
            </w:r>
          </w:p>
        </w:tc>
        <w:tc>
          <w:tcPr>
            <w:tcW w:type="dxa" w:w="1198"/>
          </w:tcPr>
          <w:p>
            <w:pPr>
              <w:pStyle w:val="Compact"/>
              <w:spacing w:line="240" w:lineRule="auto" w:after="40"/>
              <w:jc w:val="center"/>
            </w:pPr>
            <w:r>
              <w:rPr>
                <w:b/>
                <w:sz w:val="19"/>
              </w:rPr>
              <w:t xml:space="preserve">A3 Innovation</w:t>
            </w:r>
          </w:p>
        </w:tc>
        <w:tc>
          <w:tcPr>
            <w:tcW w:type="dxa" w:w="3219"/>
          </w:tcPr>
          <w:p>
            <w:pPr>
              <w:pStyle w:val="Compact"/>
              <w:spacing w:line="240" w:lineRule="auto" w:after="40"/>
              <w:jc w:val="center"/>
            </w:pPr>
            <w:r>
              <w:rPr>
                <w:b/>
                <w:sz w:val="19"/>
              </w:rPr>
              <w:t xml:space="preserve">A4 Consequences for society and environment</w:t>
            </w:r>
          </w:p>
        </w:tc>
        <w:tc>
          <w:tcPr>
            <w:tcW w:type="dxa" w:w="1318"/>
          </w:tcPr>
          <w:p>
            <w:pPr>
              <w:pStyle w:val="Compact"/>
              <w:spacing w:line="240" w:lineRule="auto" w:after="40"/>
              <w:jc w:val="center"/>
            </w:pPr>
            <w:r>
              <w:rPr>
                <w:b/>
                <w:sz w:val="19"/>
              </w:rPr>
              <w:t xml:space="preserve">A5 Familiarity</w:t>
            </w:r>
          </w:p>
        </w:tc>
      </w:tr>
      <w:tr>
        <w:tc>
          <w:tcPr>
            <w:tcW w:type="dxa" w:w="1572"/>
          </w:tcPr>
          <w:p>
            <w:pPr>
              <w:pStyle w:val="Compact"/>
              <w:spacing w:line="240" w:lineRule="auto" w:after="40"/>
              <w:jc w:val="center"/>
            </w:pPr>
            <w:r>
              <w:rPr>
                <w:sz w:val="19"/>
              </w:rPr>
              <w:t xml:space="preserve">✓</w:t>
            </w:r>
          </w:p>
        </w:tc>
        <w:tc>
          <w:tcPr>
            <w:tcW w:type="dxa" w:w="1722"/>
          </w:tcPr>
          <w:p>
            <w:pPr>
              <w:pStyle w:val="Compact"/>
              <w:spacing w:line="240" w:lineRule="auto" w:after="40"/>
              <w:jc w:val="center"/>
            </w:pPr>
            <w:r>
              <w:rPr>
                <w:sz w:val="19"/>
              </w:rPr>
              <w:t xml:space="preserve">✓</w:t>
            </w:r>
          </w:p>
        </w:tc>
        <w:tc>
          <w:tcPr>
            <w:tcW w:type="dxa" w:w="1198"/>
          </w:tcPr>
          <w:p>
            <w:pPr>
              <w:pStyle w:val="Compact"/>
              <w:spacing w:line="240" w:lineRule="auto" w:after="40"/>
              <w:jc w:val="center"/>
            </w:pPr>
            <w:r>
              <w:rPr>
                <w:sz w:val="19"/>
              </w:rPr>
              <w:t xml:space="preserve">✓</w:t>
            </w:r>
          </w:p>
        </w:tc>
        <w:tc>
          <w:tcPr>
            <w:tcW w:type="dxa" w:w="3219"/>
          </w:tcPr>
          <w:p>
            <w:pPr>
              <w:pStyle w:val="Compact"/>
              <w:spacing w:line="240" w:lineRule="auto" w:after="40"/>
              <w:jc w:val="center"/>
            </w:pPr>
            <w:r>
              <w:rPr>
                <w:sz w:val="19"/>
              </w:rPr>
              <w:t xml:space="preserve">✓</w:t>
            </w:r>
          </w:p>
        </w:tc>
        <w:tc>
          <w:tcPr>
            <w:tcW w:type="dxa" w:w="1318"/>
          </w:tcPr>
          <w:p>
            <w:pPr>
              <w:pStyle w:val="Compact"/>
              <w:spacing w:line="240" w:lineRule="auto" w:after="40"/>
              <w:jc w:val="center"/>
            </w:pPr>
            <w:r>
              <w:rPr>
                <w:sz w:val="19"/>
              </w:rPr>
              <w:t xml:space="preserve">✓</w:t>
            </w:r>
          </w:p>
        </w:tc>
      </w:tr>
    </w:tbl>
    <w:p>
      <w:pPr>
        <w:pStyle w:val="BodyText"/>
      </w:pPr>
      <w:r>
        <w:rPr>
          <w:bCs/>
          <w:b/>
        </w:rPr>
        <w:t xml:space="preserve">A1 – Range of resources.</w:t>
      </w:r>
      <w:r>
        <w:t xml:space="preserve"> </w:t>
      </w:r>
      <w:r>
        <w:t xml:space="preserve">A public archive of 583 patients (about 64 GB), rented CPU and GPU machines with shared storage, free Kaggle GPUs and open-source libraries, all within about US$22.</w:t>
      </w:r>
    </w:p>
    <w:p>
      <w:pPr>
        <w:pStyle w:val="BodyText"/>
      </w:pPr>
      <w:r>
        <w:rPr>
          <w:bCs/>
          <w:b/>
        </w:rPr>
        <w:t xml:space="preserve">A2 – Level of interaction.</w:t>
      </w:r>
      <w:r>
        <w:t xml:space="preserve"> </w:t>
      </w:r>
      <w:r>
        <w:t xml:space="preserve">Interaction among three team members with distinct roles, the supervisor, the course teacher, published clinical guidelines and open-source communities (crepes, Gradio, pylidc).</w:t>
      </w:r>
    </w:p>
    <w:p>
      <w:pPr>
        <w:pStyle w:val="BodyText"/>
      </w:pPr>
      <w:r>
        <w:rPr>
          <w:bCs/>
          <w:b/>
        </w:rPr>
        <w:t xml:space="preserve">A3 – Innovation.</w:t>
      </w:r>
      <w:r>
        <w:t xml:space="preserve"> </w:t>
      </w:r>
      <w:r>
        <w:t xml:space="preserve">The mass-first projection-moment argument for DTS, the prism-based data-consistent diffusion prior with Gaussian mass, decision-level calibrated uncertainty, and a truth-referenced seen/unseen test.</w:t>
      </w:r>
    </w:p>
    <w:p>
      <w:pPr>
        <w:pStyle w:val="BodyText"/>
      </w:pPr>
      <w:r>
        <w:rPr>
          <w:bCs/>
          <w:b/>
        </w:rPr>
        <w:t xml:space="preserve">A4 – Consequences for society and environment.</w:t>
      </w:r>
      <w:r>
        <w:t xml:space="preserve"> </w:t>
      </w:r>
      <w:r>
        <w:t xml:space="preserve">Lower radiation and cost per follow-up and wider access to nodule surveillance, balanced against the risk of wrong measurements, which intervals, flags and clinician control address (Table 5.4).</w:t>
      </w:r>
    </w:p>
    <w:p>
      <w:pPr>
        <w:pStyle w:val="BodyText"/>
      </w:pPr>
      <w:r>
        <w:rPr>
          <w:bCs/>
          <w:b/>
        </w:rPr>
        <w:t xml:space="preserve">A5 – Familiarity.</w:t>
      </w:r>
      <w:r>
        <w:t xml:space="preserve"> </w:t>
      </w:r>
      <w:r>
        <w:t xml:space="preserve">Diffusion models, conformal predictive systems and null-space analysis go well beyond typical undergraduate projects and were learned during the project.</w:t>
      </w:r>
    </w:p>
    <w:bookmarkEnd w:id="210"/>
    <w:bookmarkEnd w:id="211"/>
    <w:bookmarkStart w:id="212" w:name="summary-3"/>
    <w:p>
      <w:pPr>
        <w:pStyle w:val="Heading2"/>
      </w:pPr>
      <w:r>
        <w:t xml:space="preserve">5.5 Summary</w:t>
      </w:r>
    </w:p>
    <w:p>
      <w:pPr>
        <w:pStyle w:val="FirstParagraph"/>
      </w:pPr>
      <w:r>
        <w:t xml:space="preserve">MedLift-3D follows the software, hardware and communication standards relevant to medical imaging software and prepares for IEC 62304 and ISO 14971. Its main impacts are positive (lower dose and cost, wider access), with clear risks (wrong measurements, over-trust, untested populations) that the design mitigates through calibrated intervals, flags, clinician control and a validation plan. The project cost about US$22 and meets the attributes of a complex engineering problem.</w:t>
      </w:r>
    </w:p>
    <w:bookmarkEnd w:id="212"/>
    <w:bookmarkEnd w:id="213"/>
    <w:bookmarkStart w:id="223" w:name="chapter-6-conclusion"/>
    <w:p>
      <w:pPr>
        <w:pStyle w:val="Heading1"/>
      </w:pPr>
      <w:r>
        <w:t xml:space="preserve">Chapter 6: Conclusion</w:t>
      </w:r>
    </w:p>
    <w:p>
      <w:pPr>
        <w:pStyle w:val="FirstParagraph"/>
      </w:pPr>
      <w:r>
        <w:t xml:space="preserve">This chapter summarises what MedLift-3D achieved, states its limitations and future work, and reflects on the independent learning the project required.</w:t>
      </w:r>
    </w:p>
    <w:bookmarkStart w:id="214" w:name="summary-4"/>
    <w:p>
      <w:pPr>
        <w:pStyle w:val="Heading2"/>
      </w:pPr>
      <w:r>
        <w:t xml:space="preserve">6.1 Summary</w:t>
      </w:r>
    </w:p>
    <w:p>
      <w:pPr>
        <w:pStyle w:val="FirstParagraph"/>
      </w:pPr>
      <w:r>
        <w:t xml:space="preserve">MedLift-3D turns one click on a low-dose chest tomosynthesis image into a 3D nodule measurement with calibrated uncertainty. We showed from projection moments that DTS measures a nodule’s mass in every view but its depth extent about 15 times worse, and built the system around that fact: a prism reconstruction around the click, a 17.4-million-parameter conditional diffusion prior kept consistent with the X-rays, 3D Gaussians that give mass in closed form, conformal intervals and calibrated size-category probabilities, a learned detector to suggest clicks, and a seen/unseen explanation of every result. A verified 18-step pipeline ran a 583-patient virtual clinical trial on LIDC-IDRI in 15 hours for about US$20. The components worked as specified: the prior improved nodule-region PSNR from 11.88 to 15.23 dB on held-out data, the detector reached a CPM of 0.298 against 0.017 for a training-free baseline, conformal intervals reached their target coverage, calibrated probabilities lowered the Brier score for</w:t>
      </w:r>
      <w:r>
        <w:t xml:space="preserve"> </w:t>
      </w:r>
      <m:oMath>
        <m:r>
          <m:t>P</m:t>
        </m:r>
        <m:d>
          <m:dPr>
            <m:begChr m:val="("/>
            <m:endChr m:val=")"/>
            <m:sepChr m:val=""/>
            <m:grow/>
          </m:dPr>
          <m:e>
            <m:r>
              <m:t>V</m:t>
            </m:r>
            <m:r>
              <m:rPr>
                <m:sty m:val="p"/>
              </m:rPr>
              <m:t>≥</m:t>
            </m:r>
            <m:r>
              <m:t>100</m:t>
            </m:r>
          </m:e>
        </m:d>
      </m:oMath>
      <w:r>
        <w:t xml:space="preserve"> </w:t>
      </w:r>
      <w:r>
        <w:t xml:space="preserve">from 0.54 to 0.17, and the null-space analysis showed that the X-rays measure almost all of a nodule’s mass and that the prior’s unseen content correlates with the truth. The measurements did not reach the goal: mass was not more accurate than volume (H1), the full method did not beat physics-only reconstruction (H2), MDT did not beat VDT for our method (H4), and the valid intervals were too wide to be useful (H3). Calibrated probabilities (H5) helped at one of two thresholds, and the prior’s positive unseen skill supports H6. The analysis traced the failures to specific causes with specific fixes, and showed that better image quality did not mean better measurement, which is itself a lesson for medical generative AI.</w:t>
      </w:r>
    </w:p>
    <w:bookmarkEnd w:id="214"/>
    <w:bookmarkStart w:id="215" w:name="limitation"/>
    <w:p>
      <w:pPr>
        <w:pStyle w:val="Heading2"/>
      </w:pPr>
      <w:r>
        <w:t xml:space="preserve">6.2 Limitation</w:t>
      </w:r>
    </w:p>
    <w:p>
      <w:pPr>
        <w:numPr>
          <w:ilvl w:val="0"/>
          <w:numId w:val="1008"/>
        </w:numPr>
      </w:pPr>
      <w:r>
        <w:rPr>
          <w:bCs/>
          <w:b/>
        </w:rPr>
        <w:t xml:space="preserve">Simulation only.</w:t>
      </w:r>
      <w:r>
        <w:t xml:space="preserve"> </w:t>
      </w:r>
      <w:r>
        <w:t xml:space="preserve">No public chest DTS dataset with CT ground truth exists; our DTS is simulated from CT with a monochromatic beam and no scatter, so performance on real scanners is unknown.</w:t>
      </w:r>
    </w:p>
    <w:p>
      <w:pPr>
        <w:numPr>
          <w:ilvl w:val="0"/>
          <w:numId w:val="1008"/>
        </w:numPr>
      </w:pPr>
      <w:r>
        <w:rPr>
          <w:bCs/>
          <w:b/>
        </w:rPr>
        <w:t xml:space="preserve">Acquisition.</w:t>
      </w:r>
      <w:r>
        <w:t xml:space="preserve"> </w:t>
      </w:r>
      <w:r>
        <w:t xml:space="preserve">15 views instead of the 60–74 of clinical units (at equal dose) and a conservative 30° sweep; the prior was trained and tested on this geometry only.</w:t>
      </w:r>
    </w:p>
    <w:p>
      <w:pPr>
        <w:numPr>
          <w:ilvl w:val="0"/>
          <w:numId w:val="1008"/>
        </w:numPr>
      </w:pPr>
      <w:r>
        <w:rPr>
          <w:bCs/>
          <w:b/>
        </w:rPr>
        <w:t xml:space="preserve">Detector sensitivity.</w:t>
      </w:r>
      <w:r>
        <w:t xml:space="preserve"> </w:t>
      </w:r>
      <w:r>
        <w:t xml:space="preserve">35% at two false positives per scan is too low for unaided use; the detector is an aid only.</w:t>
      </w:r>
    </w:p>
    <w:p>
      <w:pPr>
        <w:numPr>
          <w:ilvl w:val="0"/>
          <w:numId w:val="1008"/>
        </w:numPr>
      </w:pPr>
      <w:r>
        <w:rPr>
          <w:bCs/>
          <w:b/>
        </w:rPr>
        <w:t xml:space="preserve">Growth.</w:t>
      </w:r>
      <w:r>
        <w:t xml:space="preserve"> </w:t>
      </w:r>
      <w:r>
        <w:t xml:space="preserve">Virtual growth scales the nodule uniformly; real nodules grow irregularly.</w:t>
      </w:r>
    </w:p>
    <w:p>
      <w:pPr>
        <w:numPr>
          <w:ilvl w:val="0"/>
          <w:numId w:val="1008"/>
        </w:numPr>
      </w:pPr>
      <w:r>
        <w:rPr>
          <w:bCs/>
          <w:b/>
        </w:rPr>
        <w:t xml:space="preserve">Ground truth.</w:t>
      </w:r>
      <w:r>
        <w:t xml:space="preserve"> </w:t>
      </w:r>
      <w:r>
        <w:t xml:space="preserve">LIDC labels vary between radiologists (consensus volume / mean reader volume 0.81), and only nodules of 4–30 mm marked by at least three readers were used.</w:t>
      </w:r>
    </w:p>
    <w:p>
      <w:pPr>
        <w:numPr>
          <w:ilvl w:val="0"/>
          <w:numId w:val="1008"/>
        </w:numPr>
      </w:pPr>
      <w:r>
        <w:rPr>
          <w:bCs/>
          <w:b/>
        </w:rPr>
        <w:t xml:space="preserve">Population.</w:t>
      </w:r>
      <w:r>
        <w:t xml:space="preserve"> </w:t>
      </w:r>
      <w:r>
        <w:t xml:space="preserve">LIDC is mostly from US patients; populations with tuberculosis scarring were not represented.</w:t>
      </w:r>
    </w:p>
    <w:p>
      <w:pPr>
        <w:numPr>
          <w:ilvl w:val="0"/>
          <w:numId w:val="1008"/>
        </w:numPr>
      </w:pPr>
      <w:r>
        <w:rPr>
          <w:bCs/>
          <w:b/>
        </w:rPr>
        <w:t xml:space="preserve">Measurement accuracy.</w:t>
      </w:r>
      <w:r>
        <w:t xml:space="preserve"> </w:t>
      </w:r>
      <w:r>
        <w:t xml:space="preserve">Volume and mass errors (MdAPE 75–100%) are far from clinical use; the full method under-estimates strongly (bias</w:t>
      </w:r>
      <w:r>
        <w:t xml:space="preserve"> </w:t>
      </w:r>
      <m:oMath>
        <m:r>
          <m:rPr>
            <m:sty m:val="p"/>
          </m:rPr>
          <m:t>−</m:t>
        </m:r>
        <m:r>
          <m:t>91</m:t>
        </m:r>
        <m:r>
          <m:rPr>
            <m:sty m:val="p"/>
          </m:rPr>
          <m:t>%</m:t>
        </m:r>
      </m:oMath>
      <w:r>
        <w:t xml:space="preserve">) and fails on 22% of nodules.</w:t>
      </w:r>
    </w:p>
    <w:p>
      <w:pPr>
        <w:numPr>
          <w:ilvl w:val="0"/>
          <w:numId w:val="1008"/>
        </w:numPr>
      </w:pPr>
      <w:r>
        <w:rPr>
          <w:bCs/>
          <w:b/>
        </w:rPr>
        <w:t xml:space="preserve">Uninformative intervals.</w:t>
      </w:r>
      <w:r>
        <w:t xml:space="preserve"> </w:t>
      </w:r>
      <w:r>
        <w:t xml:space="preserve">Failed measurements inside the calibration set made the intervals valid but unbounded; the ensemble spread was negatively correlated with the error.</w:t>
      </w:r>
    </w:p>
    <w:p>
      <w:pPr>
        <w:numPr>
          <w:ilvl w:val="0"/>
          <w:numId w:val="1008"/>
        </w:numPr>
      </w:pPr>
      <w:r>
        <w:rPr>
          <w:bCs/>
          <w:b/>
        </w:rPr>
        <w:t xml:space="preserve">Training budget and size.</w:t>
      </w:r>
      <w:r>
        <w:t xml:space="preserve"> </w:t>
      </w:r>
      <w:r>
        <w:t xml:space="preserve">The prior trained for 6 hours and was still improving, and its samples were better for training patients than for new ones (+7.00 vs +4.22 dB); the detector also partly memorised its training patients.</w:t>
      </w:r>
    </w:p>
    <w:p>
      <w:pPr>
        <w:numPr>
          <w:ilvl w:val="0"/>
          <w:numId w:val="1008"/>
        </w:numPr>
      </w:pPr>
      <w:r>
        <w:rPr>
          <w:bCs/>
          <w:b/>
        </w:rPr>
        <w:t xml:space="preserve">Sample size.</w:t>
      </w:r>
      <w:r>
        <w:t xml:space="preserve"> </w:t>
      </w:r>
      <w:r>
        <w:t xml:space="preserve">Measurements used 150 nodules (76 calibration, 74 test) and 40 growth pairs, so small differences between methods are not conclusive.</w:t>
      </w:r>
    </w:p>
    <w:p>
      <w:pPr>
        <w:numPr>
          <w:ilvl w:val="0"/>
          <w:numId w:val="1008"/>
        </w:numPr>
      </w:pPr>
      <w:r>
        <w:rPr>
          <w:bCs/>
          <w:b/>
        </w:rPr>
        <w:t xml:space="preserve">Patient thickness</w:t>
      </w:r>
      <w:r>
        <w:t xml:space="preserve"> </w:t>
      </w:r>
      <w:r>
        <w:t xml:space="preserve">was taken from the CT body outline; a real DTS unit would have to measure it.</w:t>
      </w:r>
    </w:p>
    <w:bookmarkEnd w:id="215"/>
    <w:bookmarkStart w:id="216" w:name="future-work"/>
    <w:p>
      <w:pPr>
        <w:pStyle w:val="Heading2"/>
      </w:pPr>
      <w:r>
        <w:t xml:space="preserve">6.3 Future Work</w:t>
      </w:r>
    </w:p>
    <w:p>
      <w:pPr>
        <w:numPr>
          <w:ilvl w:val="0"/>
          <w:numId w:val="1009"/>
        </w:numPr>
      </w:pPr>
      <w:r>
        <w:rPr>
          <w:bCs/>
          <w:b/>
        </w:rPr>
        <w:t xml:space="preserve">Nodule-preserving prior:</w:t>
      </w:r>
      <w:r>
        <w:t xml:space="preserve"> </w:t>
      </w:r>
      <w:r>
        <w:t xml:space="preserve">condition the diffusion model on the click position and oversample nodule pairs, so that faint nodules are not replaced by normal lung.</w:t>
      </w:r>
    </w:p>
    <w:p>
      <w:pPr>
        <w:numPr>
          <w:ilvl w:val="0"/>
          <w:numId w:val="1009"/>
        </w:numPr>
      </w:pPr>
      <w:r>
        <w:rPr>
          <w:bCs/>
          <w:b/>
        </w:rPr>
        <w:t xml:space="preserve">Projection-domain mass:</w:t>
      </w:r>
      <w:r>
        <w:t xml:space="preserve"> </w:t>
      </w:r>
      <w:r>
        <w:t xml:space="preserve">estimate mass by integrating the detector signal around the nodule’s shadow, which the null-space analysis shows is fully measured, instead of integrating a segmented reconstruction.</w:t>
      </w:r>
    </w:p>
    <w:p>
      <w:pPr>
        <w:numPr>
          <w:ilvl w:val="0"/>
          <w:numId w:val="1009"/>
        </w:numPr>
      </w:pPr>
      <w:r>
        <w:rPr>
          <w:bCs/>
          <w:b/>
        </w:rPr>
        <w:t xml:space="preserve">Failure-aware calibration:</w:t>
      </w:r>
      <w:r>
        <w:t xml:space="preserve"> </w:t>
      </w:r>
      <w:r>
        <w:t xml:space="preserve">report</w:t>
      </w:r>
      <w:r>
        <w:t xml:space="preserve"> </w:t>
      </w:r>
      <w:r>
        <w:t xml:space="preserve">“</w:t>
      </w:r>
      <w:r>
        <w:t xml:space="preserve">not measurable</w:t>
      </w:r>
      <w:r>
        <w:t xml:space="preserve">”</w:t>
      </w:r>
      <w:r>
        <w:t xml:space="preserve"> </w:t>
      </w:r>
      <w:r>
        <w:t xml:space="preserve">as a separate outcome with its own probability and calibrate intervals on measurable cases only, and replace the ensemble spread by a difficulty score that correlates positively with error.</w:t>
      </w:r>
    </w:p>
    <w:p>
      <w:pPr>
        <w:numPr>
          <w:ilvl w:val="0"/>
          <w:numId w:val="1009"/>
        </w:numPr>
      </w:pPr>
      <w:r>
        <w:rPr>
          <w:bCs/>
          <w:b/>
        </w:rPr>
        <w:t xml:space="preserve">Real DTS data:</w:t>
      </w:r>
      <w:r>
        <w:t xml:space="preserve"> </w:t>
      </w:r>
      <w:r>
        <w:t xml:space="preserve">partner with a hospital that has a DTS unit to collect paired DTS and CT scans, recalibrate the conformal layer on them, and measure real performance.</w:t>
      </w:r>
    </w:p>
    <w:p>
      <w:pPr>
        <w:numPr>
          <w:ilvl w:val="0"/>
          <w:numId w:val="1009"/>
        </w:numPr>
      </w:pPr>
      <w:r>
        <w:rPr>
          <w:bCs/>
          <w:b/>
        </w:rPr>
        <w:t xml:space="preserve">Physics realism:</w:t>
      </w:r>
      <w:r>
        <w:t xml:space="preserve"> </w:t>
      </w:r>
      <w:r>
        <w:t xml:space="preserve">add polychromatic spectra, scatter and the 60–74-view clinical protocols to the simulator.</w:t>
      </w:r>
    </w:p>
    <w:p>
      <w:pPr>
        <w:numPr>
          <w:ilvl w:val="0"/>
          <w:numId w:val="1009"/>
        </w:numPr>
      </w:pPr>
      <w:r>
        <w:rPr>
          <w:bCs/>
          <w:b/>
        </w:rPr>
        <w:t xml:space="preserve">Longer and larger training:</w:t>
      </w:r>
      <w:r>
        <w:t xml:space="preserve"> </w:t>
      </w:r>
      <w:r>
        <w:t xml:space="preserve">train the prior longer with augmentation, test larger models, and train the detector with more nodule-free negatives.</w:t>
      </w:r>
    </w:p>
    <w:p>
      <w:pPr>
        <w:numPr>
          <w:ilvl w:val="0"/>
          <w:numId w:val="1009"/>
        </w:numPr>
      </w:pPr>
      <w:r>
        <w:rPr>
          <w:bCs/>
          <w:b/>
        </w:rPr>
        <w:t xml:space="preserve">Real growth:</w:t>
      </w:r>
      <w:r>
        <w:t xml:space="preserve"> </w:t>
      </w:r>
      <w:r>
        <w:t xml:space="preserve">use longitudinal CT pairs instead of virtual growth.</w:t>
      </w:r>
    </w:p>
    <w:p>
      <w:pPr>
        <w:numPr>
          <w:ilvl w:val="0"/>
          <w:numId w:val="1009"/>
        </w:numPr>
      </w:pPr>
      <w:r>
        <w:rPr>
          <w:bCs/>
          <w:b/>
        </w:rPr>
        <w:t xml:space="preserve">Reader study:</w:t>
      </w:r>
      <w:r>
        <w:t xml:space="preserve"> </w:t>
      </w:r>
      <w:r>
        <w:t xml:space="preserve">measure whether radiologists make better follow-up decisions with MedLift-3D than with DTS alone.</w:t>
      </w:r>
    </w:p>
    <w:p>
      <w:pPr>
        <w:numPr>
          <w:ilvl w:val="0"/>
          <w:numId w:val="1009"/>
        </w:numPr>
      </w:pPr>
      <w:r>
        <w:rPr>
          <w:bCs/>
          <w:b/>
        </w:rPr>
        <w:t xml:space="preserve">Deployment:</w:t>
      </w:r>
      <w:r>
        <w:t xml:space="preserve"> </w:t>
      </w:r>
      <w:r>
        <w:t xml:space="preserve">a Bangla interface, DICOM/PACS integration, an on-site GPU option, and a quality system towards regulatory registration.</w:t>
      </w:r>
    </w:p>
    <w:p>
      <w:pPr>
        <w:numPr>
          <w:ilvl w:val="0"/>
          <w:numId w:val="1009"/>
        </w:numPr>
      </w:pPr>
      <w:r>
        <w:rPr>
          <w:bCs/>
          <w:b/>
        </w:rPr>
        <w:t xml:space="preserve">Other limited-angle problems:</w:t>
      </w:r>
      <w:r>
        <w:t xml:space="preserve"> </w:t>
      </w:r>
      <w:r>
        <w:t xml:space="preserve">breast tomosynthesis and dental cone-beam CT share the missing-wedge structure.</w:t>
      </w:r>
    </w:p>
    <w:bookmarkEnd w:id="216"/>
    <w:bookmarkStart w:id="222" w:name="independent-learning-and-reflection"/>
    <w:p>
      <w:pPr>
        <w:pStyle w:val="Heading2"/>
      </w:pPr>
      <w:r>
        <w:t xml:space="preserve">6.4 Independent Learning and Reflection</w:t>
      </w:r>
    </w:p>
    <w:p>
      <w:pPr>
        <w:pStyle w:val="FirstParagraph"/>
      </w:pPr>
      <w:r>
        <w:t xml:space="preserve">The project required knowledge and skills well beyond our coursework. This section reflects on that independent learning under five aspects: curiosity, self-initiative, independence, transfer of past learning, and reflection on what we learned.</w:t>
      </w:r>
    </w:p>
    <w:bookmarkStart w:id="217" w:name="curiosity"/>
    <w:p>
      <w:pPr>
        <w:pStyle w:val="Heading3"/>
      </w:pPr>
      <w:r>
        <w:t xml:space="preserve">6.4.1 Curiosity</w:t>
      </w:r>
    </w:p>
    <w:p>
      <w:pPr>
        <w:pStyle w:val="FirstParagraph"/>
      </w:pPr>
      <w:r>
        <w:t xml:space="preserve">The project began as a generative-modelling idea, but we kept asking a deeper question: what can a 30° X-ray sweep actually measure? Following that question into projection moments led to the mass-first design. The same curiosity made us ask whether the prior recovers or invents depth, which became the seen/unseen analysis, and when we found that raw ensemble spread is not a probability we studied conformal prediction until we could produce calibrated category probabilities.</w:t>
      </w:r>
    </w:p>
    <w:bookmarkEnd w:id="217"/>
    <w:bookmarkStart w:id="218" w:name="self-initiative"/>
    <w:p>
      <w:pPr>
        <w:pStyle w:val="Heading3"/>
      </w:pPr>
      <w:r>
        <w:t xml:space="preserve">6.4.2 Self-initiative</w:t>
      </w:r>
    </w:p>
    <w:p>
      <w:pPr>
        <w:pStyle w:val="FirstParagraph"/>
      </w:pPr>
      <w:r>
        <w:t xml:space="preserve">Beyond the required scope we added a learned detector after the training-free one mostly found vessels, a fit check to show that the prior does not overfit, conformal predictive systems with size-group calibration, explainability with a truth-referenced test, a geometry-sensitivity study to justify the 15-view choice, and an automatic HTML report so that every check is visible to examiners.</w:t>
      </w:r>
    </w:p>
    <w:bookmarkEnd w:id="218"/>
    <w:bookmarkStart w:id="219" w:name="independence"/>
    <w:p>
      <w:pPr>
        <w:pStyle w:val="Heading3"/>
      </w:pPr>
      <w:r>
        <w:t xml:space="preserve">6.4.3 Independence</w:t>
      </w:r>
    </w:p>
    <w:p>
      <w:pPr>
        <w:pStyle w:val="FirstParagraph"/>
      </w:pPr>
      <w:r>
        <w:t xml:space="preserve">Outside the classroom we learned to run a 15-hour unattended job on rented cloud machines (CPU and GPU pods sharing a network volume, terminal multiplexing, resumable scripts and backups), to download and organise 64 GB of medical images from TCIA, to read radiologist annotations with pylidc, and to serve a GPU application from a Kaggle notebook through an HTTPS tunnel when the usual share link failed.</w:t>
      </w:r>
    </w:p>
    <w:bookmarkEnd w:id="219"/>
    <w:bookmarkStart w:id="220" w:name="transfer-of-past-learning"/>
    <w:p>
      <w:pPr>
        <w:pStyle w:val="Heading3"/>
      </w:pPr>
      <w:r>
        <w:t xml:space="preserve">6.4.4 Transfer of Past Learning</w:t>
      </w:r>
    </w:p>
    <w:p>
      <w:pPr>
        <w:pStyle w:val="FirstParagraph"/>
      </w:pPr>
      <w:r>
        <w:t xml:space="preserve">Much of the project rests on knowledge from earlier courses applied to a problem none of them covered. Linear algebra became the tool for separating what the X-rays measure from what the prior supplies; calculus gave the moment argument that founded the design; probability and statistics became calibrated uncertainty; and software engineering became the discipline of a verified pipeline. Table 6.1 lists how each area was applied.</w:t>
      </w:r>
    </w:p>
    <w:p>
      <w:pPr>
        <w:pStyle w:val="BodyText"/>
        <w:jc w:val="center"/>
      </w:pPr>
      <w:r>
        <w:rPr>
          <w:bCs/>
          <w:b/>
          <w:iCs/>
          <w:i/>
          <w:sz w:val="20"/>
        </w:rPr>
        <w:t xml:space="preserve">Table 6.1:</w:t>
      </w:r>
      <w:r>
        <w:rPr>
          <w:iCs/>
          <w:i/>
          <w:sz w:val="20"/>
        </w:rPr>
        <w:t xml:space="preserve"> </w:t>
      </w:r>
      <w:r>
        <w:rPr>
          <w:iCs/>
          <w:i/>
          <w:sz w:val="20"/>
        </w:rPr>
        <w:t xml:space="preserve">Earlier coursework applied in MedLift-3D.</w:t>
      </w:r>
    </w:p>
    <w:tbl>
      <w:tblPr>
        <w:tblStyle w:val="Table"/>
        <w:tblW w:type="auto" w:w="0"/>
        <w:tblLook w:firstRow="1" w:lastRow="0" w:firstColumn="0" w:lastColumn="0" w:noHBand="0" w:noVBand="0" w:val="0020"/>
        <w:jc w:val="start"/>
        <w:tblBorders>
          <w:top w:val="single" w:sz="12" w:color="000000"/>
          <w:bottom w:val="single" w:sz="12" w:color="000000"/>
          <w:insideH w:val="single" w:sz="6" w:color="808080"/>
        </w:tblBorders>
      </w:tblPr>
      <w:tblGrid>
        <w:gridCol w:w="4058"/>
        <w:gridCol w:w="4970"/>
      </w:tblGrid>
      <w:tr>
        <w:trPr>
          <w:tblHeader w:val="true"/>
        </w:trPr>
        <w:tc>
          <w:tcPr>
            <w:tcW w:type="dxa" w:w="4059"/>
          </w:tcPr>
          <w:p>
            <w:pPr>
              <w:pStyle w:val="Compact"/>
              <w:spacing w:line="240" w:lineRule="auto" w:after="40"/>
              <w:jc w:val="left"/>
            </w:pPr>
            <w:r>
              <w:rPr>
                <w:b/>
                <w:sz w:val="19"/>
              </w:rPr>
              <w:t xml:space="preserve">Earlier course knowledge</w:t>
            </w:r>
          </w:p>
        </w:tc>
        <w:tc>
          <w:tcPr>
            <w:tcW w:type="dxa" w:w="4970"/>
          </w:tcPr>
          <w:p>
            <w:pPr>
              <w:pStyle w:val="Compact"/>
              <w:spacing w:line="240" w:lineRule="auto" w:after="40"/>
              <w:jc w:val="left"/>
            </w:pPr>
            <w:r>
              <w:rPr>
                <w:b/>
                <w:sz w:val="19"/>
              </w:rPr>
              <w:t xml:space="preserve">Application in MedLift-3D</w:t>
            </w:r>
          </w:p>
        </w:tc>
      </w:tr>
      <w:tr>
        <w:tc>
          <w:tcPr>
            <w:tcW w:type="dxa" w:w="4059"/>
          </w:tcPr>
          <w:p>
            <w:pPr>
              <w:pStyle w:val="Compact"/>
              <w:spacing w:line="240" w:lineRule="auto" w:after="40"/>
              <w:jc w:val="left"/>
            </w:pPr>
            <w:r>
              <w:rPr>
                <w:sz w:val="19"/>
              </w:rPr>
              <w:t xml:space="preserve">Linear algebra (range, null space, least squares)</w:t>
            </w:r>
          </w:p>
        </w:tc>
        <w:tc>
          <w:tcPr>
            <w:tcW w:type="dxa" w:w="4970"/>
          </w:tcPr>
          <w:p>
            <w:pPr>
              <w:pStyle w:val="Compact"/>
              <w:spacing w:line="240" w:lineRule="auto" w:after="40"/>
              <w:jc w:val="left"/>
            </w:pPr>
            <w:r>
              <w:rPr>
                <w:sz w:val="19"/>
              </w:rPr>
              <w:t xml:space="preserve">Seen/unseen split with CGLS; SIRT as an iterative least-squares solver</w:t>
            </w:r>
          </w:p>
        </w:tc>
      </w:tr>
      <w:tr>
        <w:tc>
          <w:tcPr>
            <w:tcW w:type="dxa" w:w="4059"/>
          </w:tcPr>
          <w:p>
            <w:pPr>
              <w:pStyle w:val="Compact"/>
              <w:spacing w:line="240" w:lineRule="auto" w:after="40"/>
              <w:jc w:val="left"/>
            </w:pPr>
            <w:r>
              <w:rPr>
                <w:sz w:val="19"/>
              </w:rPr>
              <w:t xml:space="preserve">Calculus and moments</w:t>
            </w:r>
          </w:p>
        </w:tc>
        <w:tc>
          <w:tcPr>
            <w:tcW w:type="dxa" w:w="4970"/>
          </w:tcPr>
          <w:p>
            <w:pPr>
              <w:pStyle w:val="Compact"/>
              <w:spacing w:line="240" w:lineRule="auto" w:after="40"/>
              <w:jc w:val="left"/>
            </w:pPr>
            <w:r>
              <w:rPr>
                <w:sz w:val="19"/>
              </w:rPr>
              <w:t xml:space="preserve">Projection-moment argument: mass is the 0th moment, depth extent the 2nd</w:t>
            </w:r>
          </w:p>
        </w:tc>
      </w:tr>
      <w:tr>
        <w:tc>
          <w:tcPr>
            <w:tcW w:type="dxa" w:w="4059"/>
          </w:tcPr>
          <w:p>
            <w:pPr>
              <w:pStyle w:val="Compact"/>
              <w:spacing w:line="240" w:lineRule="auto" w:after="40"/>
              <w:jc w:val="left"/>
            </w:pPr>
            <w:r>
              <w:rPr>
                <w:sz w:val="19"/>
              </w:rPr>
              <w:t xml:space="preserve">Probability and statistics</w:t>
            </w:r>
          </w:p>
        </w:tc>
        <w:tc>
          <w:tcPr>
            <w:tcW w:type="dxa" w:w="4970"/>
          </w:tcPr>
          <w:p>
            <w:pPr>
              <w:pStyle w:val="Compact"/>
              <w:spacing w:line="240" w:lineRule="auto" w:after="40"/>
              <w:jc w:val="left"/>
            </w:pPr>
            <w:r>
              <w:rPr>
                <w:sz w:val="19"/>
              </w:rPr>
              <w:t xml:space="preserve">Poisson noise, conformal prediction, Brier score, rank correlations, bootstrap confidence intervals</w:t>
            </w:r>
          </w:p>
        </w:tc>
      </w:tr>
      <w:tr>
        <w:tc>
          <w:tcPr>
            <w:tcW w:type="dxa" w:w="4059"/>
          </w:tcPr>
          <w:p>
            <w:pPr>
              <w:pStyle w:val="Compact"/>
              <w:spacing w:line="240" w:lineRule="auto" w:after="40"/>
              <w:jc w:val="left"/>
            </w:pPr>
            <w:r>
              <w:rPr>
                <w:sz w:val="19"/>
              </w:rPr>
              <w:t xml:space="preserve">Numerical methods</w:t>
            </w:r>
          </w:p>
        </w:tc>
        <w:tc>
          <w:tcPr>
            <w:tcW w:type="dxa" w:w="4970"/>
          </w:tcPr>
          <w:p>
            <w:pPr>
              <w:pStyle w:val="Compact"/>
              <w:spacing w:line="240" w:lineRule="auto" w:after="40"/>
              <w:jc w:val="left"/>
            </w:pPr>
            <w:r>
              <w:rPr>
                <w:sz w:val="19"/>
              </w:rPr>
              <w:t xml:space="preserve">Iterative solvers, numerical stability, mixed precision</w:t>
            </w:r>
          </w:p>
        </w:tc>
      </w:tr>
      <w:tr>
        <w:tc>
          <w:tcPr>
            <w:tcW w:type="dxa" w:w="4059"/>
          </w:tcPr>
          <w:p>
            <w:pPr>
              <w:pStyle w:val="Compact"/>
              <w:spacing w:line="240" w:lineRule="auto" w:after="40"/>
              <w:jc w:val="left"/>
            </w:pPr>
            <w:r>
              <w:rPr>
                <w:sz w:val="19"/>
              </w:rPr>
              <w:t xml:space="preserve">Data structures and algorithms</w:t>
            </w:r>
          </w:p>
        </w:tc>
        <w:tc>
          <w:tcPr>
            <w:tcW w:type="dxa" w:w="4970"/>
          </w:tcPr>
          <w:p>
            <w:pPr>
              <w:pStyle w:val="Compact"/>
              <w:spacing w:line="240" w:lineRule="auto" w:after="40"/>
              <w:jc w:val="left"/>
            </w:pPr>
            <w:r>
              <w:rPr>
                <w:sz w:val="19"/>
              </w:rPr>
              <w:t xml:space="preserve">Ray marching, candidate ranking, patient-level splitting</w:t>
            </w:r>
          </w:p>
        </w:tc>
      </w:tr>
      <w:tr>
        <w:tc>
          <w:tcPr>
            <w:tcW w:type="dxa" w:w="4059"/>
          </w:tcPr>
          <w:p>
            <w:pPr>
              <w:pStyle w:val="Compact"/>
              <w:spacing w:line="240" w:lineRule="auto" w:after="40"/>
              <w:jc w:val="left"/>
            </w:pPr>
            <w:r>
              <w:rPr>
                <w:sz w:val="19"/>
              </w:rPr>
              <w:t xml:space="preserve">Artificial intelligence and machine learning</w:t>
            </w:r>
          </w:p>
        </w:tc>
        <w:tc>
          <w:tcPr>
            <w:tcW w:type="dxa" w:w="4970"/>
          </w:tcPr>
          <w:p>
            <w:pPr>
              <w:pStyle w:val="Compact"/>
              <w:spacing w:line="240" w:lineRule="auto" w:after="40"/>
              <w:jc w:val="left"/>
            </w:pPr>
            <w:r>
              <w:rPr>
                <w:sz w:val="19"/>
              </w:rPr>
              <w:t xml:space="preserve">Diffusion training, U-Nets, overfitting checks, train/calibration/test discipline</w:t>
            </w:r>
          </w:p>
        </w:tc>
      </w:tr>
      <w:tr>
        <w:tc>
          <w:tcPr>
            <w:tcW w:type="dxa" w:w="4059"/>
          </w:tcPr>
          <w:p>
            <w:pPr>
              <w:pStyle w:val="Compact"/>
              <w:spacing w:line="240" w:lineRule="auto" w:after="40"/>
              <w:jc w:val="left"/>
            </w:pPr>
            <w:r>
              <w:rPr>
                <w:sz w:val="19"/>
              </w:rPr>
              <w:t xml:space="preserve">Image processing and computer graphics</w:t>
            </w:r>
          </w:p>
        </w:tc>
        <w:tc>
          <w:tcPr>
            <w:tcW w:type="dxa" w:w="4970"/>
          </w:tcPr>
          <w:p>
            <w:pPr>
              <w:pStyle w:val="Compact"/>
              <w:spacing w:line="240" w:lineRule="auto" w:after="40"/>
              <w:jc w:val="left"/>
            </w:pPr>
            <w:r>
              <w:rPr>
                <w:sz w:val="19"/>
              </w:rPr>
              <w:t xml:space="preserve">Projection geometry, 3D Gaussians, segmentation, saliency maps</w:t>
            </w:r>
          </w:p>
        </w:tc>
      </w:tr>
      <w:tr>
        <w:tc>
          <w:tcPr>
            <w:tcW w:type="dxa" w:w="4059"/>
          </w:tcPr>
          <w:p>
            <w:pPr>
              <w:pStyle w:val="Compact"/>
              <w:spacing w:line="240" w:lineRule="auto" w:after="40"/>
              <w:jc w:val="left"/>
            </w:pPr>
            <w:r>
              <w:rPr>
                <w:sz w:val="19"/>
              </w:rPr>
              <w:t xml:space="preserve">Software engineering</w:t>
            </w:r>
          </w:p>
        </w:tc>
        <w:tc>
          <w:tcPr>
            <w:tcW w:type="dxa" w:w="4970"/>
          </w:tcPr>
          <w:p>
            <w:pPr>
              <w:pStyle w:val="Compact"/>
              <w:spacing w:line="240" w:lineRule="auto" w:after="40"/>
              <w:jc w:val="left"/>
            </w:pPr>
            <w:r>
              <w:rPr>
                <w:sz w:val="19"/>
              </w:rPr>
              <w:t xml:space="preserve">Requirements and traceability, unit tests, version control, the verified pipeline</w:t>
            </w:r>
          </w:p>
        </w:tc>
      </w:tr>
      <w:tr>
        <w:tc>
          <w:tcPr>
            <w:tcW w:type="dxa" w:w="4059"/>
          </w:tcPr>
          <w:p>
            <w:pPr>
              <w:pStyle w:val="Compact"/>
              <w:spacing w:line="240" w:lineRule="auto" w:after="40"/>
              <w:jc w:val="left"/>
            </w:pPr>
            <w:r>
              <w:rPr>
                <w:sz w:val="19"/>
              </w:rPr>
              <w:t xml:space="preserve">Computer networks</w:t>
            </w:r>
          </w:p>
        </w:tc>
        <w:tc>
          <w:tcPr>
            <w:tcW w:type="dxa" w:w="4970"/>
          </w:tcPr>
          <w:p>
            <w:pPr>
              <w:pStyle w:val="Compact"/>
              <w:spacing w:line="240" w:lineRule="auto" w:after="40"/>
              <w:jc w:val="left"/>
            </w:pPr>
            <w:r>
              <w:rPr>
                <w:sz w:val="19"/>
              </w:rPr>
              <w:t xml:space="preserve">HTTPS tunnels and port forwarding for the application</w:t>
            </w:r>
          </w:p>
        </w:tc>
      </w:tr>
    </w:tbl>
    <w:bookmarkEnd w:id="220"/>
    <w:bookmarkStart w:id="221" w:name="reflection-on-learning"/>
    <w:p>
      <w:pPr>
        <w:pStyle w:val="Heading3"/>
      </w:pPr>
      <w:r>
        <w:t xml:space="preserve">6.4.5 Reflection on Learning</w:t>
      </w:r>
    </w:p>
    <w:p>
      <w:pPr>
        <w:pStyle w:val="FirstParagraph"/>
      </w:pPr>
      <w:r>
        <w:t xml:space="preserve">Our main lesson was that a large architecture with falling training losses does not show that a single clinical measurement is right. Rebuilding the work around measurable clinical numbers, explicit hypotheses and automatic checks changed how we think about engineering: a result counts only if someone else can verify it, and a negative result reported honestly is worth more than a claim that cannot be tested. We also learned to work within real limits of time, money and data, to plan computation like a budget, and to treat uncertainty as part of the answer rather than an embarrassment. These habits, more than any single model, are what we take from the project into our careers.</w:t>
      </w:r>
    </w:p>
    <w:bookmarkEnd w:id="221"/>
    <w:bookmarkEnd w:id="222"/>
    <w:bookmarkEnd w:id="223"/>
    <w:bookmarkStart w:id="226" w:name="references"/>
    <w:p>
      <w:pPr>
        <w:pStyle w:val="Heading1"/>
      </w:pPr>
      <w:r>
        <w:t xml:space="preserve">References</w:t>
      </w:r>
    </w:p>
    <w:p>
      <w:pPr>
        <w:numPr>
          <w:ilvl w:val="0"/>
          <w:numId w:val="1010"/>
        </w:numPr>
      </w:pPr>
      <w:r>
        <w:t xml:space="preserve">Freddie Bray, Mathieu Laversanne, Hyuna Sung, Jacques Ferlay, Rebecca L. Siegel, Isabelle Soerjomataram, and Ahmedin Jemal. Global cancer statistics 2022:</w:t>
      </w:r>
      <w:r>
        <w:t xml:space="preserve"> </w:t>
      </w:r>
      <w:r>
        <w:t xml:space="preserve">GLOBOCAN</w:t>
      </w:r>
      <w:r>
        <w:t xml:space="preserve"> </w:t>
      </w:r>
      <w:r>
        <w:t xml:space="preserve">estimates of incidence and mortality worldwide for 36 cancers in 185 countries.</w:t>
      </w:r>
      <w:r>
        <w:t xml:space="preserve"> </w:t>
      </w:r>
      <w:r>
        <w:rPr>
          <w:iCs/>
          <w:i/>
        </w:rPr>
        <w:t xml:space="preserve">CA: A Cancer Journal for Clinicians</w:t>
      </w:r>
      <w:r>
        <w:t xml:space="preserve">, 74 (3): 229–263, 2024.</w:t>
      </w:r>
    </w:p>
    <w:p>
      <w:pPr>
        <w:numPr>
          <w:ilvl w:val="0"/>
          <w:numId w:val="1010"/>
        </w:numPr>
      </w:pPr>
      <w:r>
        <w:t xml:space="preserve">Sean Blandin Knight, Phil A. Crosbie, Haval Balata, Jakub Chudziak, Tracy Hussell, and Caroline Dive. Progress and prospects of early detection in lung cancer.</w:t>
      </w:r>
      <w:r>
        <w:t xml:space="preserve"> </w:t>
      </w:r>
      <w:r>
        <w:rPr>
          <w:iCs/>
          <w:i/>
        </w:rPr>
        <w:t xml:space="preserve">Open Biology</w:t>
      </w:r>
      <w:r>
        <w:t xml:space="preserve">, 7 (9): 170070, 2017.</w:t>
      </w:r>
    </w:p>
    <w:p>
      <w:pPr>
        <w:numPr>
          <w:ilvl w:val="0"/>
          <w:numId w:val="1010"/>
        </w:numPr>
      </w:pPr>
      <w:r>
        <w:t xml:space="preserve">Marie-Pierre Revel, Caroline Lefort, Anne Bissery, et al. Pulmonary nodules: preliminary experience with three-dimensional evaluation.</w:t>
      </w:r>
      <w:r>
        <w:t xml:space="preserve"> </w:t>
      </w:r>
      <w:r>
        <w:rPr>
          <w:iCs/>
          <w:i/>
        </w:rPr>
        <w:t xml:space="preserve">Radiology</w:t>
      </w:r>
      <w:r>
        <w:t xml:space="preserve">, 231 (2): 459–466, 2004</w:t>
      </w:r>
      <w:r>
        <w:t xml:space="preserve">a</w:t>
      </w:r>
      <w:r>
        <w:t xml:space="preserve">.</w:t>
      </w:r>
    </w:p>
    <w:p>
      <w:pPr>
        <w:numPr>
          <w:ilvl w:val="0"/>
          <w:numId w:val="1010"/>
        </w:numPr>
      </w:pPr>
      <w:r>
        <w:t xml:space="preserve">Nanda Horeweg, Joost van Rosmalen, Marjolein A. Heuvelmans, et al. Lung cancer probability in patients with</w:t>
      </w:r>
      <w:r>
        <w:t xml:space="preserve"> </w:t>
      </w:r>
      <w:r>
        <w:t xml:space="preserve">CT</w:t>
      </w:r>
      <w:r>
        <w:t xml:space="preserve">-detected pulmonary nodules: a prespecified analysis of data from the</w:t>
      </w:r>
      <w:r>
        <w:t xml:space="preserve"> </w:t>
      </w:r>
      <w:r>
        <w:t xml:space="preserve">NELSON</w:t>
      </w:r>
      <w:r>
        <w:t xml:space="preserve"> </w:t>
      </w:r>
      <w:r>
        <w:t xml:space="preserve">trial of low-dose</w:t>
      </w:r>
      <w:r>
        <w:t xml:space="preserve"> </w:t>
      </w:r>
      <w:r>
        <w:t xml:space="preserve">CT</w:t>
      </w:r>
      <w:r>
        <w:t xml:space="preserve"> </w:t>
      </w:r>
      <w:r>
        <w:t xml:space="preserve">screening.</w:t>
      </w:r>
      <w:r>
        <w:t xml:space="preserve"> </w:t>
      </w:r>
      <w:r>
        <w:rPr>
          <w:iCs/>
          <w:i/>
        </w:rPr>
        <w:t xml:space="preserve">The Lancet Oncology</w:t>
      </w:r>
      <w:r>
        <w:t xml:space="preserve">, 15 (12): 1332–1341, 2014.</w:t>
      </w:r>
    </w:p>
    <w:p>
      <w:pPr>
        <w:numPr>
          <w:ilvl w:val="0"/>
          <w:numId w:val="1010"/>
        </w:numPr>
      </w:pPr>
      <w:r>
        <w:t xml:space="preserve">David J. Brenner and Eric J. Hall. Computed tomography – an increasing source of radiation exposure.</w:t>
      </w:r>
      <w:r>
        <w:t xml:space="preserve"> </w:t>
      </w:r>
      <w:r>
        <w:rPr>
          <w:iCs/>
          <w:i/>
        </w:rPr>
        <w:t xml:space="preserve">New England Journal of Medicine</w:t>
      </w:r>
      <w:r>
        <w:t xml:space="preserve">, 357 (22): 2277–2284, 2007.</w:t>
      </w:r>
    </w:p>
    <w:p>
      <w:pPr>
        <w:numPr>
          <w:ilvl w:val="0"/>
          <w:numId w:val="1010"/>
        </w:numPr>
      </w:pPr>
      <w:r>
        <w:t xml:space="preserve">Cristiano Rampinelli, Paolo De Marco, Daniela Origgi, Patrick Maisonneuve, Monica Casiraghi, Giulia Veronesi, Lorenzo Spaggiari, and Massimo Bellomi. Exposure to low dose computed tomography for lung cancer screening and risk of cancer: secondary analysis of trial data and risk-benefit analysis.</w:t>
      </w:r>
      <w:r>
        <w:t xml:space="preserve"> </w:t>
      </w:r>
      <w:r>
        <w:rPr>
          <w:iCs/>
          <w:i/>
        </w:rPr>
        <w:t xml:space="preserve">BMJ</w:t>
      </w:r>
      <w:r>
        <w:t xml:space="preserve">, 356: j347, 2017.</w:t>
      </w:r>
    </w:p>
    <w:p>
      <w:pPr>
        <w:numPr>
          <w:ilvl w:val="0"/>
          <w:numId w:val="1010"/>
        </w:numPr>
      </w:pPr>
      <w:r>
        <w:t xml:space="preserve">James T. Dobbins III and Devon J. Godfrey. Digital x-ray tomosynthesis: current state of the art and clinical potential.</w:t>
      </w:r>
      <w:r>
        <w:t xml:space="preserve"> </w:t>
      </w:r>
      <w:r>
        <w:rPr>
          <w:iCs/>
          <w:i/>
        </w:rPr>
        <w:t xml:space="preserve">Physics in Medicine and Biology</w:t>
      </w:r>
      <w:r>
        <w:t xml:space="preserve">, 48 (19): R65–R106, 2003.</w:t>
      </w:r>
    </w:p>
    <w:p>
      <w:pPr>
        <w:numPr>
          <w:ilvl w:val="0"/>
          <w:numId w:val="1010"/>
        </w:numPr>
      </w:pPr>
      <w:r>
        <w:t xml:space="preserve">Jenny Vikgren, Sara Zachrisson, Angelica Svalkvist, et al. Comparison of chest tomosynthesis and chest radiography for detection of pulmonary nodules: human observer study of clinical cases.</w:t>
      </w:r>
      <w:r>
        <w:t xml:space="preserve"> </w:t>
      </w:r>
      <w:r>
        <w:rPr>
          <w:iCs/>
          <w:i/>
        </w:rPr>
        <w:t xml:space="preserve">Radiology</w:t>
      </w:r>
      <w:r>
        <w:t xml:space="preserve">, 249 (3): 1034–1041, 2008.</w:t>
      </w:r>
    </w:p>
    <w:p>
      <w:pPr>
        <w:numPr>
          <w:ilvl w:val="0"/>
          <w:numId w:val="1010"/>
        </w:numPr>
      </w:pPr>
      <w:r>
        <w:t xml:space="preserve">World Health Organization</w:t>
      </w:r>
      <w:r>
        <w:t xml:space="preserve">. Lung cancer fact sheet.</w:t>
      </w:r>
      <w:r>
        <w:t xml:space="preserve"> </w:t>
      </w:r>
      <w:hyperlink r:id="rId224">
        <w:r>
          <w:rPr>
            <w:rStyle w:val="Hyperlink"/>
          </w:rPr>
          <w:t xml:space="preserve">https://www.who.int/news-room/fact-sheets/detail/lung-cancer</w:t>
        </w:r>
      </w:hyperlink>
      <w:r>
        <w:t xml:space="preserve">, 2023.</w:t>
      </w:r>
    </w:p>
    <w:p>
      <w:pPr>
        <w:numPr>
          <w:ilvl w:val="0"/>
          <w:numId w:val="1010"/>
        </w:numPr>
      </w:pPr>
      <w:r>
        <w:t xml:space="preserve">National Lung Screening Trial Research Team</w:t>
      </w:r>
      <w:r>
        <w:t xml:space="preserve">. Reduced lung-cancer mortality with low-dose computed tomographic screening.</w:t>
      </w:r>
      <w:r>
        <w:t xml:space="preserve"> </w:t>
      </w:r>
      <w:r>
        <w:rPr>
          <w:iCs/>
          <w:i/>
        </w:rPr>
        <w:t xml:space="preserve">New England Journal of Medicine</w:t>
      </w:r>
      <w:r>
        <w:t xml:space="preserve">, 365 (5): 395–409, 2011.</w:t>
      </w:r>
    </w:p>
    <w:p>
      <w:pPr>
        <w:numPr>
          <w:ilvl w:val="0"/>
          <w:numId w:val="1010"/>
        </w:numPr>
      </w:pPr>
      <w:r>
        <w:t xml:space="preserve">Matthijs Oudkerk, Anand Devaraj, Rozemarijn Vliegenthart, et al. European position statement on lung cancer screening.</w:t>
      </w:r>
      <w:r>
        <w:t xml:space="preserve"> </w:t>
      </w:r>
      <w:r>
        <w:rPr>
          <w:iCs/>
          <w:i/>
        </w:rPr>
        <w:t xml:space="preserve">The Lancet Oncology</w:t>
      </w:r>
      <w:r>
        <w:t xml:space="preserve">, 18 (12): e754–e766, 2017.</w:t>
      </w:r>
    </w:p>
    <w:p>
      <w:pPr>
        <w:numPr>
          <w:ilvl w:val="0"/>
          <w:numId w:val="1010"/>
        </w:numPr>
      </w:pPr>
      <w:r>
        <w:t xml:space="preserve">Constance de Margerie-Mellon, Benedikt H. Heidinger, and Alexander A. Bankier.</w:t>
      </w:r>
      <w:r>
        <w:t xml:space="preserve"> </w:t>
      </w:r>
      <w:r>
        <w:t xml:space="preserve">2D</w:t>
      </w:r>
      <w:r>
        <w:t xml:space="preserve"> </w:t>
      </w:r>
      <w:r>
        <w:t xml:space="preserve">or</w:t>
      </w:r>
      <w:r>
        <w:t xml:space="preserve"> </w:t>
      </w:r>
      <w:r>
        <w:t xml:space="preserve">3D</w:t>
      </w:r>
      <w:r>
        <w:t xml:space="preserve"> </w:t>
      </w:r>
      <w:r>
        <w:t xml:space="preserve">measurements of pulmonary nodules: preliminary answers and more open questions.</w:t>
      </w:r>
      <w:r>
        <w:t xml:space="preserve"> </w:t>
      </w:r>
      <w:r>
        <w:rPr>
          <w:iCs/>
          <w:i/>
        </w:rPr>
        <w:t xml:space="preserve">Journal of Thoracic Disease</w:t>
      </w:r>
      <w:r>
        <w:t xml:space="preserve">, 10 (2): 547–549, 2018.</w:t>
      </w:r>
    </w:p>
    <w:p>
      <w:pPr>
        <w:numPr>
          <w:ilvl w:val="0"/>
          <w:numId w:val="1010"/>
        </w:numPr>
      </w:pPr>
      <w:r>
        <w:t xml:space="preserve">Marie-Pierre Revel, Anne Bissery, Marc Bienvenu, Laurent Aycard, Caroline Lefort, and Guy Frija. Are two-dimensional</w:t>
      </w:r>
      <w:r>
        <w:t xml:space="preserve"> </w:t>
      </w:r>
      <w:r>
        <w:t xml:space="preserve">CT</w:t>
      </w:r>
      <w:r>
        <w:t xml:space="preserve"> </w:t>
      </w:r>
      <w:r>
        <w:t xml:space="preserve">measurements of small noncalcified pulmonary nodules reliable?</w:t>
      </w:r>
      <w:r>
        <w:t xml:space="preserve"> </w:t>
      </w:r>
      <w:r>
        <w:rPr>
          <w:iCs/>
          <w:i/>
        </w:rPr>
        <w:t xml:space="preserve">Radiology</w:t>
      </w:r>
      <w:r>
        <w:t xml:space="preserve">, 231 (2): 453–458, 2004</w:t>
      </w:r>
      <w:r>
        <w:t xml:space="preserve">b</w:t>
      </w:r>
      <w:r>
        <w:t xml:space="preserve">.</w:t>
      </w:r>
    </w:p>
    <w:p>
      <w:pPr>
        <w:numPr>
          <w:ilvl w:val="0"/>
          <w:numId w:val="1010"/>
        </w:numPr>
      </w:pPr>
      <w:r>
        <w:t xml:space="preserve">Ho Yun Lee. Volumetry for lung nodule assessment.</w:t>
      </w:r>
      <w:r>
        <w:t xml:space="preserve"> </w:t>
      </w:r>
      <w:r>
        <w:rPr>
          <w:iCs/>
          <w:i/>
        </w:rPr>
        <w:t xml:space="preserve">Journal of Chest Surgery</w:t>
      </w:r>
      <w:r>
        <w:t xml:space="preserve">, 58 (2): 58–59, 2025.</w:t>
      </w:r>
    </w:p>
    <w:p>
      <w:pPr>
        <w:numPr>
          <w:ilvl w:val="0"/>
          <w:numId w:val="1010"/>
        </w:numPr>
      </w:pPr>
      <w:r>
        <w:t xml:space="preserve">Mario Mascalchi and Lapo Sali. Lung cancer screening with low dose</w:t>
      </w:r>
      <w:r>
        <w:t xml:space="preserve"> </w:t>
      </w:r>
      <w:r>
        <w:t xml:space="preserve">CT</w:t>
      </w:r>
      <w:r>
        <w:t xml:space="preserve"> </w:t>
      </w:r>
      <w:r>
        <w:t xml:space="preserve">and radiation harm: from prediction models to cancer incidence data.</w:t>
      </w:r>
      <w:r>
        <w:t xml:space="preserve"> </w:t>
      </w:r>
      <w:r>
        <w:rPr>
          <w:iCs/>
          <w:i/>
        </w:rPr>
        <w:t xml:space="preserve">Annals of Translational Medicine</w:t>
      </w:r>
      <w:r>
        <w:t xml:space="preserve">, 5 (17): 360, 2017.</w:t>
      </w:r>
    </w:p>
    <w:p>
      <w:pPr>
        <w:numPr>
          <w:ilvl w:val="0"/>
          <w:numId w:val="1010"/>
        </w:numPr>
      </w:pPr>
      <w:r>
        <w:t xml:space="preserve">Sayantan Bhadra, Varun A. Kelkar, Frank J. Brooks, and Mark A. Anastasio. On hallucinations in tomographic image reconstruction.</w:t>
      </w:r>
      <w:r>
        <w:t xml:space="preserve"> </w:t>
      </w:r>
      <w:r>
        <w:rPr>
          <w:iCs/>
          <w:i/>
        </w:rPr>
        <w:t xml:space="preserve">IEEE Transactions on Medical Imaging</w:t>
      </w:r>
      <w:r>
        <w:t xml:space="preserve">, 40 (11): 3249–3260, 2021.</w:t>
      </w:r>
    </w:p>
    <w:p>
      <w:pPr>
        <w:numPr>
          <w:ilvl w:val="0"/>
          <w:numId w:val="1010"/>
        </w:numPr>
      </w:pPr>
      <w:r>
        <w:t xml:space="preserve">J. Zhang, Z. Li, J. Pan, S. Wang, and W. Wu. Trustworthy limited data</w:t>
      </w:r>
      <w:r>
        <w:t xml:space="preserve"> </w:t>
      </w:r>
      <w:r>
        <w:t xml:space="preserve">CT</w:t>
      </w:r>
      <w:r>
        <w:t xml:space="preserve"> </w:t>
      </w:r>
      <w:r>
        <w:t xml:space="preserve">reconstruction using progressive artifact image learning.</w:t>
      </w:r>
      <w:r>
        <w:t xml:space="preserve"> </w:t>
      </w:r>
      <w:r>
        <w:rPr>
          <w:iCs/>
          <w:i/>
        </w:rPr>
        <w:t xml:space="preserve">IEEE Transactions on Image Processing</w:t>
      </w:r>
      <w:r>
        <w:t xml:space="preserve">, 34: 1163–1178, 2025.</w:t>
      </w:r>
    </w:p>
    <w:p>
      <w:pPr>
        <w:numPr>
          <w:ilvl w:val="0"/>
          <w:numId w:val="1010"/>
        </w:numPr>
      </w:pPr>
      <w:r>
        <w:t xml:space="preserve">Bartjan de Hoop, Hester Gietema, Saskia van de Vorst, Keelin Murphy, Rob J. van Klaveren, and Mathias Prokop. Pulmonary ground-glass nodules: increase in mass as an early indicator of growth.</w:t>
      </w:r>
      <w:r>
        <w:t xml:space="preserve"> </w:t>
      </w:r>
      <w:r>
        <w:rPr>
          <w:iCs/>
          <w:i/>
        </w:rPr>
        <w:t xml:space="preserve">Radiology</w:t>
      </w:r>
      <w:r>
        <w:t xml:space="preserve">, 255 (1): 199–206, 2010.</w:t>
      </w:r>
    </w:p>
    <w:p>
      <w:pPr>
        <w:numPr>
          <w:ilvl w:val="0"/>
          <w:numId w:val="1010"/>
        </w:numPr>
      </w:pPr>
      <w:r>
        <w:t xml:space="preserve">Samuel G. Armato III, Geoffrey McLennan, Luc Bidaut, et al. The</w:t>
      </w:r>
      <w:r>
        <w:t xml:space="preserve"> </w:t>
      </w:r>
      <w:r>
        <w:t xml:space="preserve">L</w:t>
      </w:r>
      <w:r>
        <w:t xml:space="preserve">ung</w:t>
      </w:r>
      <w:r>
        <w:t xml:space="preserve"> </w:t>
      </w:r>
      <w:r>
        <w:t xml:space="preserve">I</w:t>
      </w:r>
      <w:r>
        <w:t xml:space="preserve">mage</w:t>
      </w:r>
      <w:r>
        <w:t xml:space="preserve"> </w:t>
      </w:r>
      <w:r>
        <w:t xml:space="preserve">D</w:t>
      </w:r>
      <w:r>
        <w:t xml:space="preserve">atabase</w:t>
      </w:r>
      <w:r>
        <w:t xml:space="preserve"> </w:t>
      </w:r>
      <w:r>
        <w:t xml:space="preserve">C</w:t>
      </w:r>
      <w:r>
        <w:t xml:space="preserve">onsortium (</w:t>
      </w:r>
      <w:r>
        <w:t xml:space="preserve">LIDC</w:t>
      </w:r>
      <w:r>
        <w:t xml:space="preserve">) and</w:t>
      </w:r>
      <w:r>
        <w:t xml:space="preserve"> </w:t>
      </w:r>
      <w:r>
        <w:t xml:space="preserve">I</w:t>
      </w:r>
      <w:r>
        <w:t xml:space="preserve">mage</w:t>
      </w:r>
      <w:r>
        <w:t xml:space="preserve"> </w:t>
      </w:r>
      <w:r>
        <w:t xml:space="preserve">D</w:t>
      </w:r>
      <w:r>
        <w:t xml:space="preserve">atabase</w:t>
      </w:r>
      <w:r>
        <w:t xml:space="preserve"> </w:t>
      </w:r>
      <w:r>
        <w:t xml:space="preserve">R</w:t>
      </w:r>
      <w:r>
        <w:t xml:space="preserve">esource</w:t>
      </w:r>
      <w:r>
        <w:t xml:space="preserve"> </w:t>
      </w:r>
      <w:r>
        <w:t xml:space="preserve">I</w:t>
      </w:r>
      <w:r>
        <w:t xml:space="preserve">nitiative (</w:t>
      </w:r>
      <w:r>
        <w:t xml:space="preserve">IDRI</w:t>
      </w:r>
      <w:r>
        <w:t xml:space="preserve">): a completed reference database of lung nodules on</w:t>
      </w:r>
      <w:r>
        <w:t xml:space="preserve"> </w:t>
      </w:r>
      <w:r>
        <w:t xml:space="preserve">CT</w:t>
      </w:r>
      <w:r>
        <w:t xml:space="preserve"> </w:t>
      </w:r>
      <w:r>
        <w:t xml:space="preserve">scans.</w:t>
      </w:r>
      <w:r>
        <w:t xml:space="preserve"> </w:t>
      </w:r>
      <w:r>
        <w:rPr>
          <w:iCs/>
          <w:i/>
        </w:rPr>
        <w:t xml:space="preserve">Medical Physics</w:t>
      </w:r>
      <w:r>
        <w:t xml:space="preserve">, 38 (2): 915–931, 2011.</w:t>
      </w:r>
    </w:p>
    <w:p>
      <w:pPr>
        <w:numPr>
          <w:ilvl w:val="0"/>
          <w:numId w:val="1010"/>
        </w:numPr>
      </w:pPr>
      <w:r>
        <w:t xml:space="preserve">Matthew C. Hancock and Jerry F. Magnan. Lung nodule malignancy classification using only radiologist-quantified image features as inputs to statistical learning algorithms: probing the</w:t>
      </w:r>
      <w:r>
        <w:t xml:space="preserve"> </w:t>
      </w:r>
      <w:r>
        <w:t xml:space="preserve">L</w:t>
      </w:r>
      <w:r>
        <w:t xml:space="preserve">ung</w:t>
      </w:r>
      <w:r>
        <w:t xml:space="preserve"> </w:t>
      </w:r>
      <w:r>
        <w:t xml:space="preserve">I</w:t>
      </w:r>
      <w:r>
        <w:t xml:space="preserve">mage</w:t>
      </w:r>
      <w:r>
        <w:t xml:space="preserve"> </w:t>
      </w:r>
      <w:r>
        <w:t xml:space="preserve">D</w:t>
      </w:r>
      <w:r>
        <w:t xml:space="preserve">atabase</w:t>
      </w:r>
      <w:r>
        <w:t xml:space="preserve"> </w:t>
      </w:r>
      <w:r>
        <w:t xml:space="preserve">C</w:t>
      </w:r>
      <w:r>
        <w:t xml:space="preserve">onsortium dataset with two statistical learning methods.</w:t>
      </w:r>
      <w:r>
        <w:t xml:space="preserve"> </w:t>
      </w:r>
      <w:r>
        <w:rPr>
          <w:iCs/>
          <w:i/>
        </w:rPr>
        <w:t xml:space="preserve">Journal of Medical Imaging</w:t>
      </w:r>
      <w:r>
        <w:t xml:space="preserve">, 3 (4): 044504, 2016.</w:t>
      </w:r>
    </w:p>
    <w:p>
      <w:pPr>
        <w:numPr>
          <w:ilvl w:val="0"/>
          <w:numId w:val="1010"/>
        </w:numPr>
      </w:pPr>
      <w:r>
        <w:t xml:space="preserve">Peter Gilbert. Iterative methods for the three-dimensional reconstruction of an object from projections.</w:t>
      </w:r>
      <w:r>
        <w:t xml:space="preserve"> </w:t>
      </w:r>
      <w:r>
        <w:rPr>
          <w:iCs/>
          <w:i/>
        </w:rPr>
        <w:t xml:space="preserve">Journal of Theoretical Biology</w:t>
      </w:r>
      <w:r>
        <w:t xml:space="preserve">, 36 (1): 105–117, 1972.</w:t>
      </w:r>
    </w:p>
    <w:p>
      <w:pPr>
        <w:numPr>
          <w:ilvl w:val="0"/>
          <w:numId w:val="1010"/>
        </w:numPr>
      </w:pPr>
      <w:r>
        <w:t xml:space="preserve">Jonathan Ho, Ajay Jain, and Pieter Abbeel. Denoising diffusion probabilistic models. In</w:t>
      </w:r>
      <w:r>
        <w:t xml:space="preserve"> </w:t>
      </w:r>
      <w:r>
        <w:rPr>
          <w:iCs/>
          <w:i/>
        </w:rPr>
        <w:t xml:space="preserve">Advances in Neural Information Processing Systems (NeurIPS)</w:t>
      </w:r>
      <w:r>
        <w:t xml:space="preserve">, 2020.</w:t>
      </w:r>
    </w:p>
    <w:p>
      <w:pPr>
        <w:numPr>
          <w:ilvl w:val="0"/>
          <w:numId w:val="1010"/>
        </w:numPr>
      </w:pPr>
      <w:r>
        <w:t xml:space="preserve">Jiaming Song, Chenlin Meng, and Stefano Ermon. Denoising diffusion implicit models. In</w:t>
      </w:r>
      <w:r>
        <w:t xml:space="preserve"> </w:t>
      </w:r>
      <w:r>
        <w:rPr>
          <w:iCs/>
          <w:i/>
        </w:rPr>
        <w:t xml:space="preserve">International Conference on Learning Representations (ICLR)</w:t>
      </w:r>
      <w:r>
        <w:t xml:space="preserve">, 2021.</w:t>
      </w:r>
    </w:p>
    <w:p>
      <w:pPr>
        <w:numPr>
          <w:ilvl w:val="0"/>
          <w:numId w:val="1010"/>
        </w:numPr>
      </w:pPr>
      <w:r>
        <w:t xml:space="preserve">Tim Salimans and Jonathan Ho. Progressive distillation for fast sampling of diffusion models. In</w:t>
      </w:r>
      <w:r>
        <w:t xml:space="preserve"> </w:t>
      </w:r>
      <w:r>
        <w:rPr>
          <w:iCs/>
          <w:i/>
        </w:rPr>
        <w:t xml:space="preserve">International Conference on Learning Representations (ICLR)</w:t>
      </w:r>
      <w:r>
        <w:t xml:space="preserve">, 2022.</w:t>
      </w:r>
    </w:p>
    <w:p>
      <w:pPr>
        <w:numPr>
          <w:ilvl w:val="0"/>
          <w:numId w:val="1010"/>
        </w:numPr>
      </w:pPr>
      <w:r>
        <w:t xml:space="preserve">Bernhard Kerbl, Georgios Kopanas, Thomas Leimk</w:t>
      </w:r>
      <w:r>
        <w:t xml:space="preserve">ü</w:t>
      </w:r>
      <w:r>
        <w:t xml:space="preserve">hler, and George Drettakis.</w:t>
      </w:r>
      <w:r>
        <w:t xml:space="preserve"> </w:t>
      </w:r>
      <w:r>
        <w:t xml:space="preserve">3D</w:t>
      </w:r>
      <w:r>
        <w:t xml:space="preserve"> </w:t>
      </w:r>
      <w:r>
        <w:t xml:space="preserve">G</w:t>
      </w:r>
      <w:r>
        <w:t xml:space="preserve">aussian splatting for real-time radiance field rendering.</w:t>
      </w:r>
      <w:r>
        <w:t xml:space="preserve"> </w:t>
      </w:r>
      <w:r>
        <w:rPr>
          <w:iCs/>
          <w:i/>
        </w:rPr>
        <w:t xml:space="preserve">ACM Transactions on Graphics</w:t>
      </w:r>
      <w:r>
        <w:t xml:space="preserve">, 42 (4), 2023.</w:t>
      </w:r>
    </w:p>
    <w:p>
      <w:pPr>
        <w:numPr>
          <w:ilvl w:val="0"/>
          <w:numId w:val="1010"/>
        </w:numPr>
      </w:pPr>
      <w:r>
        <w:t xml:space="preserve">Ruyi Zha, Tao Jun Lin, Yuanhao Cai, Jiwen Cao, Yanhao Zhang, and Hongdong Li.</w:t>
      </w:r>
      <w:r>
        <w:t xml:space="preserve"> </w:t>
      </w:r>
      <w:r>
        <w:t xml:space="preserve">R</w:t>
      </w:r>
      <m:oMath>
        <m:sSup>
          <m:e>
            <m:r>
              <m:t>​</m:t>
            </m:r>
          </m:e>
          <m:sup>
            <m:r>
              <m:t>2</m:t>
            </m:r>
          </m:sup>
        </m:sSup>
      </m:oMath>
      <w:r>
        <w:t xml:space="preserve">-Gaussian</w:t>
      </w:r>
      <w:r>
        <w:t xml:space="preserve">: Rectifying radiative</w:t>
      </w:r>
      <w:r>
        <w:t xml:space="preserve"> </w:t>
      </w:r>
      <w:r>
        <w:t xml:space="preserve">G</w:t>
      </w:r>
      <w:r>
        <w:t xml:space="preserve">aussian splatting for tomographic reconstruction. In</w:t>
      </w:r>
      <w:r>
        <w:t xml:space="preserve"> </w:t>
      </w:r>
      <w:r>
        <w:rPr>
          <w:iCs/>
          <w:i/>
        </w:rPr>
        <w:t xml:space="preserve">Advances in Neural Information Processing Systems (NeurIPS)</w:t>
      </w:r>
      <w:r>
        <w:t xml:space="preserve">, 2024.</w:t>
      </w:r>
    </w:p>
    <w:p>
      <w:pPr>
        <w:numPr>
          <w:ilvl w:val="0"/>
          <w:numId w:val="1010"/>
        </w:numPr>
      </w:pPr>
      <w:r>
        <w:t xml:space="preserve">Vladimir Vovk, Alexander Gammerman, and Glenn Shafer.</w:t>
      </w:r>
      <w:r>
        <w:t xml:space="preserve"> </w:t>
      </w:r>
      <w:r>
        <w:rPr>
          <w:iCs/>
          <w:i/>
        </w:rPr>
        <w:t xml:space="preserve">Algorithmic Learning in a Random World</w:t>
      </w:r>
      <w:r>
        <w:t xml:space="preserve">. Springer, 2nd edition, 2022.</w:t>
      </w:r>
    </w:p>
    <w:p>
      <w:pPr>
        <w:numPr>
          <w:ilvl w:val="0"/>
          <w:numId w:val="1010"/>
        </w:numPr>
      </w:pPr>
      <w:r>
        <w:t xml:space="preserve">Vladimir Vovk, Jieli Shen, Valery Manokhin, and Min-ge Xie. Nonparametric predictive distributions based on conformal prediction.</w:t>
      </w:r>
      <w:r>
        <w:t xml:space="preserve"> </w:t>
      </w:r>
      <w:r>
        <w:rPr>
          <w:iCs/>
          <w:i/>
        </w:rPr>
        <w:t xml:space="preserve">Machine Learning</w:t>
      </w:r>
      <w:r>
        <w:t xml:space="preserve">, 108: 445–474, 2019.</w:t>
      </w:r>
    </w:p>
    <w:p>
      <w:pPr>
        <w:numPr>
          <w:ilvl w:val="0"/>
          <w:numId w:val="1010"/>
        </w:numPr>
      </w:pPr>
      <w:r>
        <w:t xml:space="preserve">Henrik Bostr</w:t>
      </w:r>
      <w:r>
        <w:t xml:space="preserve">ö</w:t>
      </w:r>
      <w:r>
        <w:t xml:space="preserve">m. crepes: a</w:t>
      </w:r>
      <w:r>
        <w:t xml:space="preserve"> </w:t>
      </w:r>
      <w:r>
        <w:t xml:space="preserve">P</w:t>
      </w:r>
      <w:r>
        <w:t xml:space="preserve">ython package for generating conformal regressors and predictive systems. In</w:t>
      </w:r>
      <w:r>
        <w:t xml:space="preserve"> </w:t>
      </w:r>
      <w:r>
        <w:rPr>
          <w:iCs/>
          <w:i/>
        </w:rPr>
        <w:t xml:space="preserve">Proc. Conformal and Probabilistic Prediction with Applications (COPA)</w:t>
      </w:r>
      <w:r>
        <w:t xml:space="preserve">, volume 179 of</w:t>
      </w:r>
      <w:r>
        <w:t xml:space="preserve"> </w:t>
      </w:r>
      <w:r>
        <w:rPr>
          <w:iCs/>
          <w:i/>
        </w:rPr>
        <w:t xml:space="preserve">PMLR</w:t>
      </w:r>
      <w:r>
        <w:t xml:space="preserve">, 2022.</w:t>
      </w:r>
    </w:p>
    <w:p>
      <w:pPr>
        <w:numPr>
          <w:ilvl w:val="0"/>
          <w:numId w:val="1010"/>
        </w:numPr>
      </w:pPr>
      <w:r>
        <w:t xml:space="preserve">Anastasios N. Angelopoulos and Stephen Bates. Conformal prediction: a gentle introduction.</w:t>
      </w:r>
      <w:r>
        <w:t xml:space="preserve"> </w:t>
      </w:r>
      <w:r>
        <w:rPr>
          <w:iCs/>
          <w:i/>
        </w:rPr>
        <w:t xml:space="preserve">Foundations and Trends in Machine Learning</w:t>
      </w:r>
      <w:r>
        <w:t xml:space="preserve">, 16 (4): 494–591, 2023.</w:t>
      </w:r>
    </w:p>
    <w:p>
      <w:pPr>
        <w:numPr>
          <w:ilvl w:val="0"/>
          <w:numId w:val="1010"/>
        </w:numPr>
      </w:pPr>
      <w:r>
        <w:t xml:space="preserve">Yinhuai Wang, Jiwen Yu, and Jian Zhang. Zero-shot image restoration using denoising diffusion null-space model. In</w:t>
      </w:r>
      <w:r>
        <w:t xml:space="preserve"> </w:t>
      </w:r>
      <w:r>
        <w:rPr>
          <w:iCs/>
          <w:i/>
        </w:rPr>
        <w:t xml:space="preserve">International Conference on Learning Representations (ICLR)</w:t>
      </w:r>
      <w:r>
        <w:t xml:space="preserve">, 2023.</w:t>
      </w:r>
    </w:p>
    <w:p>
      <w:pPr>
        <w:numPr>
          <w:ilvl w:val="0"/>
          <w:numId w:val="1010"/>
        </w:numPr>
      </w:pPr>
      <w:r>
        <w:t xml:space="preserve">Avanti Shrikumar, Peyton Greenside, and Anshul Kundaje. Learning important features through propagating activation differences. In</w:t>
      </w:r>
      <w:r>
        <w:t xml:space="preserve"> </w:t>
      </w:r>
      <w:r>
        <w:rPr>
          <w:iCs/>
          <w:i/>
        </w:rPr>
        <w:t xml:space="preserve">International Conference on Machine Learning (ICML)</w:t>
      </w:r>
      <w:r>
        <w:t xml:space="preserve">, 2017.</w:t>
      </w:r>
    </w:p>
    <w:p>
      <w:pPr>
        <w:numPr>
          <w:ilvl w:val="0"/>
          <w:numId w:val="1010"/>
        </w:numPr>
      </w:pPr>
      <w:r>
        <w:t xml:space="preserve">Gabor T. Herman.</w:t>
      </w:r>
      <w:r>
        <w:t xml:space="preserve"> </w:t>
      </w:r>
      <w:r>
        <w:rPr>
          <w:iCs/>
          <w:i/>
        </w:rPr>
        <w:t xml:space="preserve">Fundamentals of Computerized Tomography</w:t>
      </w:r>
      <w:r>
        <w:t xml:space="preserve">. Springer, 2nd edition, 2009.</w:t>
      </w:r>
    </w:p>
    <w:p>
      <w:pPr>
        <w:numPr>
          <w:ilvl w:val="0"/>
          <w:numId w:val="1010"/>
        </w:numPr>
      </w:pPr>
      <w:r>
        <w:t xml:space="preserve">Alexander Quinn Nichol and Prafulla Dhariwal. Improved denoising diffusion probabilistic models. In</w:t>
      </w:r>
      <w:r>
        <w:t xml:space="preserve"> </w:t>
      </w:r>
      <w:r>
        <w:rPr>
          <w:iCs/>
          <w:i/>
        </w:rPr>
        <w:t xml:space="preserve">International Conference on Machine Learning (ICML)</w:t>
      </w:r>
      <w:r>
        <w:t xml:space="preserve">, 2021.</w:t>
      </w:r>
    </w:p>
    <w:p>
      <w:pPr>
        <w:numPr>
          <w:ilvl w:val="0"/>
          <w:numId w:val="1010"/>
        </w:numPr>
      </w:pPr>
      <w:r>
        <w:t xml:space="preserve">Hyungjin Chung, Jeongsol Kim, Michael T. Mccann, Marc L. Klasky, and Jong Chul Ye. Diffusion posterior sampling for general noisy inverse problems. In</w:t>
      </w:r>
      <w:r>
        <w:t xml:space="preserve"> </w:t>
      </w:r>
      <w:r>
        <w:rPr>
          <w:iCs/>
          <w:i/>
        </w:rPr>
        <w:t xml:space="preserve">International Conference on Learning Representations (ICLR)</w:t>
      </w:r>
      <w:r>
        <w:t xml:space="preserve">, 2023.</w:t>
      </w:r>
    </w:p>
    <w:p>
      <w:pPr>
        <w:numPr>
          <w:ilvl w:val="0"/>
          <w:numId w:val="1010"/>
        </w:numPr>
      </w:pPr>
      <w:r>
        <w:t xml:space="preserve">Hyungjin Chung, Suhyeon Lee, and Jong Chul Ye. Decomposed diffusion sampler for accelerating large-scale inverse problems. In</w:t>
      </w:r>
      <w:r>
        <w:t xml:space="preserve"> </w:t>
      </w:r>
      <w:r>
        <w:rPr>
          <w:iCs/>
          <w:i/>
        </w:rPr>
        <w:t xml:space="preserve">International Conference on Learning Representations (ICLR)</w:t>
      </w:r>
      <w:r>
        <w:t xml:space="preserve">, 2024.</w:t>
      </w:r>
    </w:p>
    <w:p>
      <w:pPr>
        <w:numPr>
          <w:ilvl w:val="0"/>
          <w:numId w:val="1010"/>
        </w:numPr>
      </w:pPr>
      <w:r>
        <w:t xml:space="preserve">Arnaud Arindra Adiyoso Setio, Alberto Traverso, Thomas de Bel, et al. Validation, comparison, and combination of algorithms for automatic detection of pulmonary nodules in computed tomography images: the</w:t>
      </w:r>
      <w:r>
        <w:t xml:space="preserve"> </w:t>
      </w:r>
      <w:r>
        <w:t xml:space="preserve">LUNA16</w:t>
      </w:r>
      <w:r>
        <w:t xml:space="preserve"> </w:t>
      </w:r>
      <w:r>
        <w:t xml:space="preserve">challenge.</w:t>
      </w:r>
      <w:r>
        <w:t xml:space="preserve"> </w:t>
      </w:r>
      <w:r>
        <w:rPr>
          <w:iCs/>
          <w:i/>
        </w:rPr>
        <w:t xml:space="preserve">Medical Image Analysis</w:t>
      </w:r>
      <w:r>
        <w:t xml:space="preserve">, 42: 1–13, 2017.</w:t>
      </w:r>
    </w:p>
    <w:p>
      <w:pPr>
        <w:numPr>
          <w:ilvl w:val="0"/>
          <w:numId w:val="1010"/>
        </w:numPr>
      </w:pPr>
      <w:r>
        <w:t xml:space="preserve">Yingtai Li, Xueming Fu, Han Li, Shang Zhao, Ruiyang Jin, and S. Kevin Zhou.</w:t>
      </w:r>
      <w:r>
        <w:t xml:space="preserve"> </w:t>
      </w:r>
      <w:r>
        <w:t xml:space="preserve">3DGR-CT</w:t>
      </w:r>
      <w:r>
        <w:t xml:space="preserve">: Sparse-view</w:t>
      </w:r>
      <w:r>
        <w:t xml:space="preserve"> </w:t>
      </w:r>
      <w:r>
        <w:t xml:space="preserve">CT</w:t>
      </w:r>
      <w:r>
        <w:t xml:space="preserve"> </w:t>
      </w:r>
      <w:r>
        <w:t xml:space="preserve">reconstruction with a</w:t>
      </w:r>
      <w:r>
        <w:t xml:space="preserve"> </w:t>
      </w:r>
      <w:r>
        <w:t xml:space="preserve">3D</w:t>
      </w:r>
      <w:r>
        <w:t xml:space="preserve"> </w:t>
      </w:r>
      <w:r>
        <w:t xml:space="preserve">G</w:t>
      </w:r>
      <w:r>
        <w:t xml:space="preserve">aussian representation.</w:t>
      </w:r>
      <w:r>
        <w:t xml:space="preserve"> </w:t>
      </w:r>
      <w:r>
        <w:rPr>
          <w:iCs/>
          <w:i/>
        </w:rPr>
        <w:t xml:space="preserve">Medical Image Analysis</w:t>
      </w:r>
      <w:r>
        <w:t xml:space="preserve">, 103: 103585, 2025.</w:t>
      </w:r>
    </w:p>
    <w:p>
      <w:pPr>
        <w:numPr>
          <w:ilvl w:val="0"/>
          <w:numId w:val="1010"/>
        </w:numPr>
      </w:pPr>
      <w:r>
        <w:t xml:space="preserve">B. Guan, C. Yang, L. Zhang, S. Niu, M. Zhang, and Y. Wang. Generative modeling in sinogram domain for sparse-view</w:t>
      </w:r>
      <w:r>
        <w:t xml:space="preserve"> </w:t>
      </w:r>
      <w:r>
        <w:t xml:space="preserve">CT</w:t>
      </w:r>
      <w:r>
        <w:t xml:space="preserve"> </w:t>
      </w:r>
      <w:r>
        <w:t xml:space="preserve">reconstruction.</w:t>
      </w:r>
      <w:r>
        <w:t xml:space="preserve"> </w:t>
      </w:r>
      <w:r>
        <w:rPr>
          <w:iCs/>
          <w:i/>
        </w:rPr>
        <w:t xml:space="preserve">IEEE Transactions on Radiation and Plasma Medical Sciences</w:t>
      </w:r>
      <w:r>
        <w:t xml:space="preserve">, 8 (2): 195–207, 2024.</w:t>
      </w:r>
    </w:p>
    <w:p>
      <w:pPr>
        <w:numPr>
          <w:ilvl w:val="0"/>
          <w:numId w:val="1010"/>
        </w:numPr>
      </w:pPr>
      <w:r>
        <w:t xml:space="preserve">K. Xu, S. Lu, B. Huang, W. Wu, and Q. Liu. Stage-by-stage wavelet optimization refinement diffusion model for sparse-view</w:t>
      </w:r>
      <w:r>
        <w:t xml:space="preserve"> </w:t>
      </w:r>
      <w:r>
        <w:t xml:space="preserve">CT</w:t>
      </w:r>
      <w:r>
        <w:t xml:space="preserve"> </w:t>
      </w:r>
      <w:r>
        <w:t xml:space="preserve">reconstruction.</w:t>
      </w:r>
      <w:r>
        <w:t xml:space="preserve"> </w:t>
      </w:r>
      <w:r>
        <w:rPr>
          <w:iCs/>
          <w:i/>
        </w:rPr>
        <w:t xml:space="preserve">IEEE Transactions on Medical Imaging</w:t>
      </w:r>
      <w:r>
        <w:t xml:space="preserve">, 43 (10): 3412–3424, 2024.</w:t>
      </w:r>
    </w:p>
    <w:p>
      <w:pPr>
        <w:numPr>
          <w:ilvl w:val="0"/>
          <w:numId w:val="1010"/>
        </w:numPr>
      </w:pPr>
      <w:r>
        <w:t xml:space="preserve">W. Wu, Y. Wang, Q. Liu, G. Wang, and J. Zhang. Wavelet-improved score-based generative model for medical imaging.</w:t>
      </w:r>
      <w:r>
        <w:t xml:space="preserve"> </w:t>
      </w:r>
      <w:r>
        <w:rPr>
          <w:iCs/>
          <w:i/>
        </w:rPr>
        <w:t xml:space="preserve">IEEE Transactions on Medical Imaging</w:t>
      </w:r>
      <w:r>
        <w:t xml:space="preserve">, 43 (3): 966–979, 2024.</w:t>
      </w:r>
    </w:p>
    <w:p>
      <w:pPr>
        <w:numPr>
          <w:ilvl w:val="0"/>
          <w:numId w:val="1010"/>
        </w:numPr>
      </w:pPr>
      <w:r>
        <w:t xml:space="preserve">Y. Liu, X. Zhou, C. Wei, and Q. Xu. Sparse-view spectral</w:t>
      </w:r>
      <w:r>
        <w:t xml:space="preserve"> </w:t>
      </w:r>
      <w:r>
        <w:t xml:space="preserve">CT</w:t>
      </w:r>
      <w:r>
        <w:t xml:space="preserve"> </w:t>
      </w:r>
      <w:r>
        <w:t xml:space="preserve">reconstruction and material decomposition based on multi-channel</w:t>
      </w:r>
      <w:r>
        <w:t xml:space="preserve"> </w:t>
      </w:r>
      <w:r>
        <w:t xml:space="preserve">SGM</w:t>
      </w:r>
      <w:r>
        <w:t xml:space="preserve">.</w:t>
      </w:r>
      <w:r>
        <w:t xml:space="preserve"> </w:t>
      </w:r>
      <w:r>
        <w:rPr>
          <w:iCs/>
          <w:i/>
        </w:rPr>
        <w:t xml:space="preserve">IEEE Transactions on Medical Imaging</w:t>
      </w:r>
      <w:r>
        <w:t xml:space="preserve">, 43 (10): 3425–3435, 2024.</w:t>
      </w:r>
    </w:p>
    <w:p>
      <w:pPr>
        <w:numPr>
          <w:ilvl w:val="0"/>
          <w:numId w:val="1010"/>
        </w:numPr>
      </w:pPr>
      <w:r>
        <w:t xml:space="preserve">Linfeng He et al. Solving zero-shot sparse-view</w:t>
      </w:r>
      <w:r>
        <w:t xml:space="preserve"> </w:t>
      </w:r>
      <w:r>
        <w:t xml:space="preserve">CT</w:t>
      </w:r>
      <w:r>
        <w:t xml:space="preserve"> </w:t>
      </w:r>
      <w:r>
        <w:t xml:space="preserve">reconstruction with variational score solver.</w:t>
      </w:r>
      <w:r>
        <w:t xml:space="preserve"> </w:t>
      </w:r>
      <w:r>
        <w:rPr>
          <w:iCs/>
          <w:i/>
        </w:rPr>
        <w:t xml:space="preserve">IEEE Transactions on Medical Imaging</w:t>
      </w:r>
      <w:r>
        <w:t xml:space="preserve">, 44 (9): 3586–3599, 2025.</w:t>
      </w:r>
    </w:p>
    <w:p>
      <w:pPr>
        <w:numPr>
          <w:ilvl w:val="0"/>
          <w:numId w:val="1010"/>
        </w:numPr>
      </w:pPr>
      <w:r>
        <w:t xml:space="preserve">T. Wang and Y. Guo. A lung</w:t>
      </w:r>
      <w:r>
        <w:t xml:space="preserve"> </w:t>
      </w:r>
      <w:r>
        <w:t xml:space="preserve">CT</w:t>
      </w:r>
      <w:r>
        <w:t xml:space="preserve"> </w:t>
      </w:r>
      <w:r>
        <w:t xml:space="preserve">vision foundation model facilitating disease diagnosis and medical imaging.</w:t>
      </w:r>
      <w:r>
        <w:t xml:space="preserve"> </w:t>
      </w:r>
      <w:r>
        <w:rPr>
          <w:iCs/>
          <w:i/>
        </w:rPr>
        <w:t xml:space="preserve">Nature Communications</w:t>
      </w:r>
      <w:r>
        <w:t xml:space="preserve">, 2025.</w:t>
      </w:r>
    </w:p>
    <w:p>
      <w:pPr>
        <w:numPr>
          <w:ilvl w:val="0"/>
          <w:numId w:val="1010"/>
        </w:numPr>
      </w:pPr>
      <w:r>
        <w:t xml:space="preserve">Emmanuel J. Cand</w:t>
      </w:r>
      <w:r>
        <w:t xml:space="preserve">è</w:t>
      </w:r>
      <w:r>
        <w:t xml:space="preserve">s, Justin Romberg, and Terence Tao. Robust uncertainty principles: exact signal reconstruction from highly incomplete frequency information.</w:t>
      </w:r>
      <w:r>
        <w:t xml:space="preserve"> </w:t>
      </w:r>
      <w:r>
        <w:rPr>
          <w:iCs/>
          <w:i/>
        </w:rPr>
        <w:t xml:space="preserve">IEEE Transactions on Information Theory</w:t>
      </w:r>
      <w:r>
        <w:t xml:space="preserve">, 52 (2): 489–509, 2006.</w:t>
      </w:r>
    </w:p>
    <w:p>
      <w:pPr>
        <w:numPr>
          <w:ilvl w:val="0"/>
          <w:numId w:val="1010"/>
        </w:numPr>
      </w:pPr>
      <w:r>
        <w:t xml:space="preserve">Ben Mildenhall, Pratul P. Srinivasan, Matthew Tancik, Jonathan T. Barron, Ravi Ramamoorthi, and Ren Ng.</w:t>
      </w:r>
      <w:r>
        <w:t xml:space="preserve"> </w:t>
      </w:r>
      <w:r>
        <w:t xml:space="preserve">NeRF</w:t>
      </w:r>
      <w:r>
        <w:t xml:space="preserve">: Representing scenes as neural radiance fields for view synthesis. In</w:t>
      </w:r>
      <w:r>
        <w:t xml:space="preserve"> </w:t>
      </w:r>
      <w:r>
        <w:rPr>
          <w:iCs/>
          <w:i/>
        </w:rPr>
        <w:t xml:space="preserve">European Conference on Computer Vision (ECCV)</w:t>
      </w:r>
      <w:r>
        <w:t xml:space="preserve">, 2020.</w:t>
      </w:r>
    </w:p>
    <w:p>
      <w:pPr>
        <w:numPr>
          <w:ilvl w:val="0"/>
          <w:numId w:val="1010"/>
        </w:numPr>
      </w:pPr>
      <w:r>
        <w:t xml:space="preserve">R. Vavekanand, G. Kumar, and S. Kurbanova. A lightweight physics-conditioned diffusion multi-model for medical image reconstruction.</w:t>
      </w:r>
      <w:r>
        <w:t xml:space="preserve"> </w:t>
      </w:r>
      <w:r>
        <w:rPr>
          <w:iCs/>
          <w:i/>
        </w:rPr>
        <w:t xml:space="preserve">Biomedical Engineering Communications</w:t>
      </w:r>
      <w:r>
        <w:t xml:space="preserve">, 5 (2): 12, 2025.</w:t>
      </w:r>
    </w:p>
    <w:p>
      <w:pPr>
        <w:numPr>
          <w:ilvl w:val="0"/>
          <w:numId w:val="1010"/>
        </w:numPr>
      </w:pPr>
      <w:r>
        <w:t xml:space="preserve">J. Chang et al. An unsupervised sparse-view</w:t>
      </w:r>
      <w:r>
        <w:t xml:space="preserve"> </w:t>
      </w:r>
      <w:r>
        <w:t xml:space="preserve">CT</w:t>
      </w:r>
      <w:r>
        <w:t xml:space="preserve"> </w:t>
      </w:r>
      <w:r>
        <w:t xml:space="preserve">reconstruction framework using combination of iterative deep image prior and</w:t>
      </w:r>
      <w:r>
        <w:t xml:space="preserve"> </w:t>
      </w:r>
      <w:r>
        <w:t xml:space="preserve">ADMM</w:t>
      </w:r>
      <w:r>
        <w:t xml:space="preserve">.</w:t>
      </w:r>
      <w:r>
        <w:t xml:space="preserve"> </w:t>
      </w:r>
      <w:r>
        <w:rPr>
          <w:iCs/>
          <w:i/>
        </w:rPr>
        <w:t xml:space="preserve">Medical Physics</w:t>
      </w:r>
      <w:r>
        <w:t xml:space="preserve">, 52 (7): e17933, 2025.</w:t>
      </w:r>
    </w:p>
    <w:p>
      <w:pPr>
        <w:numPr>
          <w:ilvl w:val="0"/>
          <w:numId w:val="1010"/>
        </w:numPr>
      </w:pPr>
      <w:r>
        <w:t xml:space="preserve">X. Jiang, G. J. Gang, and J. W. Stayman. Joint estimation of anatomy and implants in</w:t>
      </w:r>
      <w:r>
        <w:t xml:space="preserve"> </w:t>
      </w:r>
      <w:r>
        <w:t xml:space="preserve">X</w:t>
      </w:r>
      <w:r>
        <w:t xml:space="preserve">-ray</w:t>
      </w:r>
      <w:r>
        <w:t xml:space="preserve"> </w:t>
      </w:r>
      <w:r>
        <w:t xml:space="preserve">CT</w:t>
      </w:r>
      <w:r>
        <w:t xml:space="preserve"> </w:t>
      </w:r>
      <w:r>
        <w:t xml:space="preserve">using a mixed prior model. In</w:t>
      </w:r>
      <w:r>
        <w:t xml:space="preserve"> </w:t>
      </w:r>
      <w:r>
        <w:rPr>
          <w:iCs/>
          <w:i/>
        </w:rPr>
        <w:t xml:space="preserve">Proc. SPIE Medical Imaging 2025: Physics of Medical Imaging</w:t>
      </w:r>
      <w:r>
        <w:t xml:space="preserve">, volume 13405, page 134051I, 2025.</w:t>
      </w:r>
    </w:p>
    <w:p>
      <w:pPr>
        <w:numPr>
          <w:ilvl w:val="0"/>
          <w:numId w:val="1010"/>
        </w:numPr>
      </w:pPr>
      <w:r>
        <w:t xml:space="preserve">L. Yang, J. Huang, Y. Fang, A. I. Aviles-Rivero, C.-B. Sch</w:t>
      </w:r>
      <w:r>
        <w:t xml:space="preserve">ö</w:t>
      </w:r>
      <w:r>
        <w:t xml:space="preserve">nlieb, D. Zhang, and G. Yang. Learning task-specific sampling strategy for sparse-view</w:t>
      </w:r>
      <w:r>
        <w:t xml:space="preserve"> </w:t>
      </w:r>
      <w:r>
        <w:t xml:space="preserve">CT</w:t>
      </w:r>
      <w:r>
        <w:t xml:space="preserve"> </w:t>
      </w:r>
      <w:r>
        <w:t xml:space="preserve">reconstruction.</w:t>
      </w:r>
      <w:r>
        <w:t xml:space="preserve"> </w:t>
      </w:r>
      <w:r>
        <w:rPr>
          <w:iCs/>
          <w:i/>
        </w:rPr>
        <w:t xml:space="preserve">IEEE Transactions on Instrumentation and Measurement</w:t>
      </w:r>
      <w:r>
        <w:t xml:space="preserve">, 74: 4507611, 2025.</w:t>
      </w:r>
    </w:p>
    <w:p>
      <w:pPr>
        <w:numPr>
          <w:ilvl w:val="0"/>
          <w:numId w:val="1010"/>
        </w:numPr>
      </w:pPr>
      <w:r>
        <w:t xml:space="preserve">S.-Y. Jeon, W. Kim, and J.-H. Choi.</w:t>
      </w:r>
      <w:r>
        <w:t xml:space="preserve"> </w:t>
      </w:r>
      <w:r>
        <w:t xml:space="preserve">MM-Net</w:t>
      </w:r>
      <w:r>
        <w:t xml:space="preserve">: Multiframe and multimask-based unsupervised deep denoising for low-dose computed tomography.</w:t>
      </w:r>
      <w:r>
        <w:t xml:space="preserve"> </w:t>
      </w:r>
      <w:r>
        <w:rPr>
          <w:iCs/>
          <w:i/>
        </w:rPr>
        <w:t xml:space="preserve">IEEE Transactions on Radiation and Plasma Medical Sciences</w:t>
      </w:r>
      <w:r>
        <w:t xml:space="preserve">, 7 (3): 296–306, 2023.</w:t>
      </w:r>
    </w:p>
    <w:p>
      <w:pPr>
        <w:numPr>
          <w:ilvl w:val="0"/>
          <w:numId w:val="1010"/>
        </w:numPr>
      </w:pPr>
      <w:r>
        <w:t xml:space="preserve">J. Xie, H.-C. Shao, and Y. Zhang. Time-resolved dynamic</w:t>
      </w:r>
      <w:r>
        <w:t xml:space="preserve"> </w:t>
      </w:r>
      <w:r>
        <w:t xml:space="preserve">CBCT</w:t>
      </w:r>
      <w:r>
        <w:t xml:space="preserve"> </w:t>
      </w:r>
      <w:r>
        <w:t xml:space="preserve">reconstruction using prior-model-free spatiotemporal</w:t>
      </w:r>
      <w:r>
        <w:t xml:space="preserve"> </w:t>
      </w:r>
      <w:r>
        <w:t xml:space="preserve">G</w:t>
      </w:r>
      <w:r>
        <w:t xml:space="preserve">aussian representation (</w:t>
      </w:r>
      <w:r>
        <w:t xml:space="preserve">PMF-STGR</w:t>
      </w:r>
      <w:r>
        <w:t xml:space="preserve">).</w:t>
      </w:r>
      <w:r>
        <w:t xml:space="preserve"> </w:t>
      </w:r>
      <w:r>
        <w:rPr>
          <w:iCs/>
          <w:i/>
        </w:rPr>
        <w:t xml:space="preserve">Physics in Medicine and Biology</w:t>
      </w:r>
      <w:r>
        <w:t xml:space="preserve">, 70 (16): 165011, 2025.</w:t>
      </w:r>
    </w:p>
    <w:p>
      <w:pPr>
        <w:numPr>
          <w:ilvl w:val="0"/>
          <w:numId w:val="1010"/>
        </w:numPr>
      </w:pPr>
      <w:r>
        <w:t xml:space="preserve">Y. Liu, C. Li, H. Liu, C. Yang, and Y. Yuan. Foundation model-guided</w:t>
      </w:r>
      <w:r>
        <w:t xml:space="preserve"> </w:t>
      </w:r>
      <w:r>
        <w:t xml:space="preserve">G</w:t>
      </w:r>
      <w:r>
        <w:t xml:space="preserve">aussian splatting for</w:t>
      </w:r>
      <w:r>
        <w:t xml:space="preserve"> </w:t>
      </w:r>
      <w:r>
        <w:t xml:space="preserve">4D</w:t>
      </w:r>
      <w:r>
        <w:t xml:space="preserve"> </w:t>
      </w:r>
      <w:r>
        <w:t xml:space="preserve">reconstruction of deformable tissues.</w:t>
      </w:r>
      <w:r>
        <w:t xml:space="preserve"> </w:t>
      </w:r>
      <w:r>
        <w:rPr>
          <w:iCs/>
          <w:i/>
        </w:rPr>
        <w:t xml:space="preserve">IEEE Transactions on Medical Imaging</w:t>
      </w:r>
      <w:r>
        <w:t xml:space="preserve">, 44 (6): 2672–2682, 2025.</w:t>
      </w:r>
    </w:p>
    <w:p>
      <w:pPr>
        <w:numPr>
          <w:ilvl w:val="0"/>
          <w:numId w:val="1010"/>
        </w:numPr>
      </w:pPr>
      <w:r>
        <w:t xml:space="preserve">Ö</w:t>
      </w:r>
      <w:r>
        <w:t xml:space="preserve">zg</w:t>
      </w:r>
      <w:r>
        <w:t xml:space="preserve">ü</w:t>
      </w:r>
      <w:r>
        <w:t xml:space="preserve">n</w:t>
      </w:r>
      <w:r>
        <w:t xml:space="preserve"> </w:t>
      </w:r>
      <w:r>
        <w:t xml:space="preserve">Ç</w:t>
      </w:r>
      <w:r>
        <w:t xml:space="preserve">i</w:t>
      </w:r>
      <w:r>
        <w:t xml:space="preserve">ç</w:t>
      </w:r>
      <w:r>
        <w:t xml:space="preserve">ek, Ahmed Abdulkadir, Soeren S. Lienkamp, Thomas Brox, and Olaf Ronneberger.</w:t>
      </w:r>
      <w:r>
        <w:t xml:space="preserve"> </w:t>
      </w:r>
      <w:r>
        <w:t xml:space="preserve">3D U-Net</w:t>
      </w:r>
      <w:r>
        <w:t xml:space="preserve">: Learning dense volumetric segmentation from sparse annotation. In</w:t>
      </w:r>
      <w:r>
        <w:t xml:space="preserve"> </w:t>
      </w:r>
      <w:r>
        <w:rPr>
          <w:iCs/>
          <w:i/>
        </w:rPr>
        <w:t xml:space="preserve">Medical Image Computing and Computer-Assisted Intervention (MICCAI)</w:t>
      </w:r>
      <w:r>
        <w:t xml:space="preserve">, 2016.</w:t>
      </w:r>
    </w:p>
    <w:p>
      <w:pPr>
        <w:numPr>
          <w:ilvl w:val="0"/>
          <w:numId w:val="1010"/>
        </w:numPr>
      </w:pPr>
      <w:r>
        <w:t xml:space="preserve">Magnus R. Hestenes and Eduard Stiefel. Methods of conjugate gradients for solving linear systems.</w:t>
      </w:r>
      <w:r>
        <w:t xml:space="preserve"> </w:t>
      </w:r>
      <w:r>
        <w:rPr>
          <w:iCs/>
          <w:i/>
        </w:rPr>
        <w:t xml:space="preserve">Journal of Research of the National Bureau of Standards</w:t>
      </w:r>
      <w:r>
        <w:t xml:space="preserve">, 49 (6): 409–436, 1952.</w:t>
      </w:r>
    </w:p>
    <w:p>
      <w:pPr>
        <w:numPr>
          <w:ilvl w:val="0"/>
          <w:numId w:val="1010"/>
        </w:numPr>
      </w:pPr>
      <w:r>
        <w:t xml:space="preserve">National Electrical Manufacturers Association</w:t>
      </w:r>
      <w:r>
        <w:t xml:space="preserve">. Digital imaging and communications in medicine (</w:t>
      </w:r>
      <w:r>
        <w:t xml:space="preserve">DICOM</w:t>
      </w:r>
      <w:r>
        <w:t xml:space="preserve">) standard,</w:t>
      </w:r>
      <w:r>
        <w:t xml:space="preserve"> </w:t>
      </w:r>
      <w:r>
        <w:t xml:space="preserve">PS3</w:t>
      </w:r>
      <w:r>
        <w:t xml:space="preserve">, 2024.</w:t>
      </w:r>
    </w:p>
    <w:p>
      <w:pPr>
        <w:numPr>
          <w:ilvl w:val="0"/>
          <w:numId w:val="1010"/>
        </w:numPr>
      </w:pPr>
      <w:r>
        <w:t xml:space="preserve">International Electrotechnical Commission</w:t>
      </w:r>
      <w:r>
        <w:t xml:space="preserve">.</w:t>
      </w:r>
      <w:r>
        <w:t xml:space="preserve"> </w:t>
      </w:r>
      <w:r>
        <w:t xml:space="preserve">IEC</w:t>
      </w:r>
      <w:r>
        <w:t xml:space="preserve"> </w:t>
      </w:r>
      <w:r>
        <w:t xml:space="preserve">62304:2006+</w:t>
      </w:r>
      <w:r>
        <w:t xml:space="preserve">AMD1</w:t>
      </w:r>
      <w:r>
        <w:t xml:space="preserve">:2015 medical device software – software life cycle processes, 2015.</w:t>
      </w:r>
    </w:p>
    <w:p>
      <w:pPr>
        <w:numPr>
          <w:ilvl w:val="0"/>
          <w:numId w:val="1010"/>
        </w:numPr>
      </w:pPr>
      <w:r>
        <w:t xml:space="preserve">International Organization for Standardization</w:t>
      </w:r>
      <w:r>
        <w:t xml:space="preserve">.</w:t>
      </w:r>
      <w:r>
        <w:t xml:space="preserve"> </w:t>
      </w:r>
      <w:r>
        <w:t xml:space="preserve">ISO</w:t>
      </w:r>
      <w:r>
        <w:t xml:space="preserve"> </w:t>
      </w:r>
      <w:r>
        <w:t xml:space="preserve">14971:2019 medical devices – application of risk management to medical devices, 2019.</w:t>
      </w:r>
    </w:p>
    <w:p>
      <w:pPr>
        <w:numPr>
          <w:ilvl w:val="0"/>
          <w:numId w:val="1010"/>
        </w:numPr>
      </w:pPr>
      <w:r>
        <w:t xml:space="preserve">International Organization for Standardization</w:t>
      </w:r>
      <w:r>
        <w:t xml:space="preserve">.</w:t>
      </w:r>
      <w:r>
        <w:t xml:space="preserve"> </w:t>
      </w:r>
      <w:r>
        <w:t xml:space="preserve">ISO</w:t>
      </w:r>
      <w:r>
        <w:t xml:space="preserve"> </w:t>
      </w:r>
      <w:r>
        <w:t xml:space="preserve">13485:2016 medical devices – quality management systems – requirements for regulatory purposes, 2016.</w:t>
      </w:r>
    </w:p>
    <w:p>
      <w:pPr>
        <w:numPr>
          <w:ilvl w:val="0"/>
          <w:numId w:val="1010"/>
        </w:numPr>
      </w:pPr>
      <w:r>
        <w:t xml:space="preserve">The Cancer Imaging Archive</w:t>
      </w:r>
      <w:r>
        <w:t xml:space="preserve">.</w:t>
      </w:r>
      <w:r>
        <w:t xml:space="preserve"> </w:t>
      </w:r>
      <w:r>
        <w:t xml:space="preserve">TCIA</w:t>
      </w:r>
      <w:r>
        <w:t xml:space="preserve"> </w:t>
      </w:r>
      <w:r>
        <w:t xml:space="preserve">data usage policies and restrictions.</w:t>
      </w:r>
      <w:r>
        <w:t xml:space="preserve"> </w:t>
      </w:r>
      <w:hyperlink r:id="rId225">
        <w:r>
          <w:rPr>
            <w:rStyle w:val="Hyperlink"/>
          </w:rPr>
          <w:t xml:space="preserve">https://www.cancerimagingarchive.net/data-usage-policies-and-restrictions/</w:t>
        </w:r>
      </w:hyperlink>
      <w:r>
        <w:t xml:space="preserve">, 2024.</w:t>
      </w:r>
    </w:p>
    <w:p>
      <w:pPr>
        <w:numPr>
          <w:ilvl w:val="0"/>
          <w:numId w:val="1010"/>
        </w:numPr>
      </w:pPr>
      <w:r>
        <w:t xml:space="preserve">ICRP</w:t>
      </w:r>
      <w:r>
        <w:t xml:space="preserve">. The 2007 recommendations of the international commission on radiological protection.</w:t>
      </w:r>
      <w:r>
        <w:t xml:space="preserve"> </w:t>
      </w:r>
      <w:r>
        <w:t xml:space="preserve">ICRP</w:t>
      </w:r>
      <w:r>
        <w:t xml:space="preserve"> </w:t>
      </w:r>
      <w:r>
        <w:t xml:space="preserve">publication 103.</w:t>
      </w:r>
      <w:r>
        <w:t xml:space="preserve"> </w:t>
      </w:r>
      <w:r>
        <w:rPr>
          <w:iCs/>
          <w:i/>
        </w:rPr>
        <w:t xml:space="preserve">Annals of the ICRP</w:t>
      </w:r>
      <w:r>
        <w:t xml:space="preserve">, 37 (2–4), 2007.</w:t>
      </w:r>
    </w:p>
    <w:p>
      <w:pPr>
        <w:numPr>
          <w:ilvl w:val="0"/>
          <w:numId w:val="1010"/>
        </w:numPr>
      </w:pPr>
      <w:r>
        <w:t xml:space="preserve">Lo</w:t>
      </w:r>
      <w:r>
        <w:t xml:space="preserve">ı̈</w:t>
      </w:r>
      <w:r>
        <w:t xml:space="preserve">c Lannelongue, Jason Grealey, and Michael Inouye. Green algorithms: quantifying the carbon footprint of computation.</w:t>
      </w:r>
      <w:r>
        <w:t xml:space="preserve"> </w:t>
      </w:r>
      <w:r>
        <w:rPr>
          <w:iCs/>
          <w:i/>
        </w:rPr>
        <w:t xml:space="preserve">Advanced Science</w:t>
      </w:r>
      <w:r>
        <w:t xml:space="preserve">, 8 (12): 2100707, 2021.</w:t>
      </w:r>
    </w:p>
    <w:p>
      <w:pPr>
        <w:numPr>
          <w:ilvl w:val="0"/>
          <w:numId w:val="1010"/>
        </w:numPr>
      </w:pPr>
      <w:r>
        <w:t xml:space="preserve">IEEE</w:t>
      </w:r>
      <w:r>
        <w:t xml:space="preserve">.</w:t>
      </w:r>
      <w:r>
        <w:t xml:space="preserve"> </w:t>
      </w:r>
      <w:r>
        <w:t xml:space="preserve">IEEE</w:t>
      </w:r>
      <w:r>
        <w:t xml:space="preserve"> </w:t>
      </w:r>
      <w:r>
        <w:t xml:space="preserve">code of ethics. IEEE Policies, Section 7.8, 2020.</w:t>
      </w:r>
    </w:p>
    <w:p>
      <w:pPr>
        <w:numPr>
          <w:ilvl w:val="0"/>
          <w:numId w:val="1010"/>
        </w:numPr>
      </w:pPr>
      <w:r>
        <w:t xml:space="preserve">Association for Computing Machinery</w:t>
      </w:r>
      <w:r>
        <w:t xml:space="preserve">.</w:t>
      </w:r>
      <w:r>
        <w:t xml:space="preserve"> </w:t>
      </w:r>
      <w:r>
        <w:t xml:space="preserve">ACM</w:t>
      </w:r>
      <w:r>
        <w:t xml:space="preserve"> </w:t>
      </w:r>
      <w:r>
        <w:t xml:space="preserve">code of ethics and professional conduct, 2018.</w:t>
      </w:r>
    </w:p>
    <w:p>
      <w:pPr>
        <w:numPr>
          <w:ilvl w:val="0"/>
          <w:numId w:val="1010"/>
        </w:numPr>
      </w:pPr>
      <w:r>
        <w:t xml:space="preserve">Kenneth Clark, Bruce Vendt, Kirk Smith, John Freymann, Justin Kirby, Paul Koppel, Stephen Moore, Stanley Phillips, David Maffitt, Michael Pringle, Lawrence Tarbox, and Fred Prior. The</w:t>
      </w:r>
      <w:r>
        <w:t xml:space="preserve"> </w:t>
      </w:r>
      <w:r>
        <w:t xml:space="preserve">C</w:t>
      </w:r>
      <w:r>
        <w:t xml:space="preserve">ancer</w:t>
      </w:r>
      <w:r>
        <w:t xml:space="preserve"> </w:t>
      </w:r>
      <w:r>
        <w:t xml:space="preserve">I</w:t>
      </w:r>
      <w:r>
        <w:t xml:space="preserve">maging</w:t>
      </w:r>
      <w:r>
        <w:t xml:space="preserve"> </w:t>
      </w:r>
      <w:r>
        <w:t xml:space="preserve">A</w:t>
      </w:r>
      <w:r>
        <w:t xml:space="preserve">rchive (</w:t>
      </w:r>
      <w:r>
        <w:t xml:space="preserve">TCIA</w:t>
      </w:r>
      <w:r>
        <w:t xml:space="preserve">): maintaining and operating a public information repository.</w:t>
      </w:r>
      <w:r>
        <w:t xml:space="preserve"> </w:t>
      </w:r>
      <w:r>
        <w:rPr>
          <w:iCs/>
          <w:i/>
        </w:rPr>
        <w:t xml:space="preserve">Journal of Digital Imaging</w:t>
      </w:r>
      <w:r>
        <w:t xml:space="preserve">, 26 (6): 1045–1057, 2013.</w:t>
      </w:r>
    </w:p>
    <w:p>
      <w:pPr>
        <w:numPr>
          <w:ilvl w:val="0"/>
          <w:numId w:val="1010"/>
        </w:numPr>
      </w:pPr>
      <w:r>
        <w:t xml:space="preserve">Government of the People’s Republic of Bangladesh</w:t>
      </w:r>
      <w:r>
        <w:t xml:space="preserve">. Drugs and cosmetics act, 2023 (passed by parliament in september 2023), 2023.</w:t>
      </w:r>
    </w:p>
    <w:p>
      <w:pPr>
        <w:numPr>
          <w:ilvl w:val="0"/>
          <w:numId w:val="1010"/>
        </w:numPr>
      </w:pPr>
      <w:r>
        <w:t xml:space="preserve">Directorate General of Drug Administration, Ministry of Health and Family Welfare, Bangladesh</w:t>
      </w:r>
      <w:r>
        <w:t xml:space="preserve">. Registration guidelines for medical devices, 2015.</w:t>
      </w:r>
    </w:p>
    <w:p>
      <w:pPr>
        <w:numPr>
          <w:ilvl w:val="0"/>
          <w:numId w:val="1010"/>
        </w:numPr>
      </w:pPr>
      <w:r>
        <w:t xml:space="preserve">European Parliament and Council</w:t>
      </w:r>
      <w:r>
        <w:t xml:space="preserve">. Regulation (</w:t>
      </w:r>
      <w:r>
        <w:t xml:space="preserve">EU</w:t>
      </w:r>
      <w:r>
        <w:t xml:space="preserve">) 2017/745 on medical devices, 2017.</w:t>
      </w:r>
    </w:p>
    <w:p>
      <w:pPr>
        <w:numPr>
          <w:ilvl w:val="0"/>
          <w:numId w:val="1010"/>
        </w:numPr>
      </w:pPr>
      <w:r>
        <w:t xml:space="preserve">European Parliament and Council</w:t>
      </w:r>
      <w:r>
        <w:t xml:space="preserve">. Regulation (</w:t>
      </w:r>
      <w:r>
        <w:t xml:space="preserve">EU</w:t>
      </w:r>
      <w:r>
        <w:t xml:space="preserve">) 2024/1689 laying down harmonised rules on artificial intelligence (</w:t>
      </w:r>
      <w:r>
        <w:t xml:space="preserve">AI</w:t>
      </w:r>
      <w:r>
        <w:t xml:space="preserve"> </w:t>
      </w:r>
      <w:r>
        <w:t xml:space="preserve">act), 2024.</w:t>
      </w:r>
    </w:p>
    <w:p>
      <w:pPr>
        <w:numPr>
          <w:ilvl w:val="0"/>
          <w:numId w:val="1010"/>
        </w:numPr>
      </w:pPr>
      <w:r>
        <w:t xml:space="preserve">Government of the People’s Republic of Bangladesh</w:t>
      </w:r>
      <w:r>
        <w:t xml:space="preserve">. Personal data protection ordinance, 2025 (gazetted 6 november 2025), 2025.</w:t>
      </w:r>
    </w:p>
    <w:bookmarkEnd w:id="226"/>
    <w:sectPr>
      <w:pgSz w:w="11909" w:h="16834"/>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360" w:lineRule="auto"/>
    </w:pPr>
    <w:rPr>
      <w:rFonts w:ascii="Times New Roman" w:hAnsi="Times New Roman"/>
      <w:sz w:val="24"/>
    </w:rPr>
  </w:style>
  <w:style w:styleId="BodyText" w:type="paragraph">
    <w:name w:val="Body Text"/>
    <w:basedOn w:val="Normal"/>
    <w:link w:val="BodyTextChar"/>
    <w:pPr>
      <w:spacing w:after="120" w:before="180" w:line="360" w:lineRule="auto"/>
    </w:pPr>
    <w:qFormat/>
    <w:rPr>
      <w:rFonts w:ascii="Times New Roman" w:hAnsi="Times New Roman"/>
      <w:sz w:val="24"/>
    </w:rPr>
  </w:style>
  <w:style w:customStyle="1" w:styleId="FirstParagraph" w:type="paragraph">
    <w:name w:val="First Paragraph"/>
    <w:basedOn w:val="BodyText"/>
    <w:next w:val="BodyText"/>
    <w:qFormat/>
    <w:pPr>
      <w:spacing w:after="120" w:line="360" w:lineRule="auto"/>
    </w:pPr>
    <w:rPr>
      <w:rFonts w:ascii="Times New Roman" w:hAnsi="Times New Roman"/>
      <w:sz w:val="24"/>
    </w:rPr>
  </w:style>
  <w:style w:customStyle="1" w:styleId="Compact" w:type="paragraph">
    <w:name w:val="Compact"/>
    <w:basedOn w:val="BodyText"/>
    <w:qFormat/>
    <w:pPr>
      <w:spacing w:after="120" w:before="36" w:line="360" w:lineRule="auto"/>
    </w:pPr>
    <w:rPr>
      <w:rFonts w:ascii="Times New Roman" w:hAnsi="Times New Roman"/>
      <w:sz w:val="24"/>
    </w:rPr>
  </w:style>
  <w:style w:styleId="Title" w:type="paragraph">
    <w:name w:val="Title"/>
    <w:basedOn w:val="Normal"/>
    <w:next w:val="BodyText"/>
    <w:qFormat/>
    <w:pPr>
      <w:keepNext/>
      <w:keepLines/>
      <w:spacing w:after="240" w:before="480"/>
      <w:jc w:val="center"/>
    </w:pPr>
    <w:rPr>
      <w:rFonts w:ascii="Times New Roman" w:hAnsi="Times New Roman"/>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0" w:before="360"/>
      <w:outlineLvl w:val="0"/>
    </w:pPr>
    <w:rPr>
      <w:rFonts w:ascii="Times New Roman" w:hAnsi="Times New Roman"/>
      <w:b/>
      <w:bCs/>
      <w:color w:val="000000"/>
      <w:sz w:val="40"/>
      <w:szCs w:val="32"/>
    </w:rPr>
  </w:style>
  <w:style w:styleId="Heading2" w:type="paragraph">
    <w:name w:val="Heading 2"/>
    <w:basedOn w:val="Normal"/>
    <w:next w:val="BodyText"/>
    <w:uiPriority w:val="9"/>
    <w:unhideWhenUsed/>
    <w:qFormat/>
    <w:pPr>
      <w:keepNext/>
      <w:keepLines/>
      <w:spacing w:after="0" w:before="240"/>
      <w:outlineLvl w:val="1"/>
    </w:pPr>
    <w:rPr>
      <w:rFonts w:ascii="Times New Roman" w:hAnsi="Times New Roman"/>
      <w:b/>
      <w:bCs/>
      <w:color w:val="000000"/>
      <w:sz w:val="32"/>
      <w:szCs w:val="28"/>
    </w:rPr>
  </w:style>
  <w:style w:styleId="Heading3" w:type="paragraph">
    <w:name w:val="Heading 3"/>
    <w:basedOn w:val="Normal"/>
    <w:next w:val="BodyText"/>
    <w:uiPriority w:val="9"/>
    <w:unhideWhenUsed/>
    <w:qFormat/>
    <w:pPr>
      <w:keepNext/>
      <w:keepLines/>
      <w:spacing w:after="0" w:before="240"/>
      <w:outlineLvl w:val="2"/>
    </w:pPr>
    <w:rPr>
      <w:rFonts w:ascii="Times New Roman" w:hAnsi="Times New Roman"/>
      <w:b/>
      <w:bCs/>
      <w:color w:val="000000"/>
      <w:sz w:val="26"/>
      <w:szCs w:val="24"/>
    </w:rPr>
  </w:style>
  <w:style w:styleId="Heading4" w:type="paragraph">
    <w:name w:val="Heading 4"/>
    <w:basedOn w:val="Normal"/>
    <w:next w:val="BodyText"/>
    <w:uiPriority w:val="9"/>
    <w:unhideWhenUsed/>
    <w:qFormat/>
    <w:pPr>
      <w:keepNext/>
      <w:keepLines/>
      <w:spacing w:after="0" w:before="240"/>
      <w:outlineLvl w:val="3"/>
    </w:pPr>
    <w:rPr>
      <w:rFonts w:ascii="Times New Roman" w:hAnsi="Times New Roman"/>
      <w:i/>
      <w:b/>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hAnsi="Times New Roman"/>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hAnsi="Times New Roman"/>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hAnsi="Times New Roman"/>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hAnsi="Times New Roman"/>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hAnsi="Times New Roman"/>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7" Type="http://schemas.openxmlformats.org/officeDocument/2006/relationships/image" Target="media/rId47.png"/><Relationship Id="rId60" Type="http://schemas.openxmlformats.org/officeDocument/2006/relationships/image" Target="media/rId60.png"/><Relationship Id="rId102" Type="http://schemas.openxmlformats.org/officeDocument/2006/relationships/image" Target="media/rId102.png"/><Relationship Id="rId64" Type="http://schemas.openxmlformats.org/officeDocument/2006/relationships/image" Target="media/rId64.png"/><Relationship Id="rId22" Type="http://schemas.openxmlformats.org/officeDocument/2006/relationships/image" Target="media/rId22.png"/><Relationship Id="rId77" Type="http://schemas.openxmlformats.org/officeDocument/2006/relationships/image" Target="media/rId77.png"/><Relationship Id="rId73" Type="http://schemas.openxmlformats.org/officeDocument/2006/relationships/image" Target="media/rId73.png"/><Relationship Id="rId92" Type="http://schemas.openxmlformats.org/officeDocument/2006/relationships/image" Target="media/rId92.png"/><Relationship Id="rId82" Type="http://schemas.openxmlformats.org/officeDocument/2006/relationships/image" Target="media/rId82.png"/><Relationship Id="rId41" Type="http://schemas.openxmlformats.org/officeDocument/2006/relationships/image" Target="media/rId41.png"/><Relationship Id="rId68" Type="http://schemas.openxmlformats.org/officeDocument/2006/relationships/image" Target="media/rId68.png"/><Relationship Id="rId86" Type="http://schemas.openxmlformats.org/officeDocument/2006/relationships/image" Target="media/rId86.png"/><Relationship Id="rId142" Type="http://schemas.openxmlformats.org/officeDocument/2006/relationships/image" Target="media/rId142.png"/><Relationship Id="rId114" Type="http://schemas.openxmlformats.org/officeDocument/2006/relationships/image" Target="media/rId114.png"/><Relationship Id="rId175" Type="http://schemas.openxmlformats.org/officeDocument/2006/relationships/image" Target="media/rId175.png"/><Relationship Id="rId178" Type="http://schemas.openxmlformats.org/officeDocument/2006/relationships/image" Target="media/rId178.png"/><Relationship Id="rId184" Type="http://schemas.openxmlformats.org/officeDocument/2006/relationships/image" Target="media/rId184.png"/><Relationship Id="rId187" Type="http://schemas.openxmlformats.org/officeDocument/2006/relationships/image" Target="media/rId187.png"/><Relationship Id="rId181" Type="http://schemas.openxmlformats.org/officeDocument/2006/relationships/image" Target="media/rId181.png"/><Relationship Id="rId125" Type="http://schemas.openxmlformats.org/officeDocument/2006/relationships/image" Target="media/rId125.png"/><Relationship Id="rId159" Type="http://schemas.openxmlformats.org/officeDocument/2006/relationships/image" Target="media/rId159.png"/><Relationship Id="rId108" Type="http://schemas.openxmlformats.org/officeDocument/2006/relationships/image" Target="media/rId108.png"/><Relationship Id="rId105" Type="http://schemas.openxmlformats.org/officeDocument/2006/relationships/image" Target="media/rId105.png"/><Relationship Id="rId145" Type="http://schemas.openxmlformats.org/officeDocument/2006/relationships/image" Target="media/rId145.png"/><Relationship Id="rId128" Type="http://schemas.openxmlformats.org/officeDocument/2006/relationships/image" Target="media/rId128.png"/><Relationship Id="rId132" Type="http://schemas.openxmlformats.org/officeDocument/2006/relationships/image" Target="media/rId132.png"/><Relationship Id="rId155" Type="http://schemas.openxmlformats.org/officeDocument/2006/relationships/image" Target="media/rId155.png"/><Relationship Id="rId170" Type="http://schemas.openxmlformats.org/officeDocument/2006/relationships/image" Target="media/rId170.png"/><Relationship Id="rId152" Type="http://schemas.openxmlformats.org/officeDocument/2006/relationships/image" Target="media/rId152.png"/><Relationship Id="rId166" Type="http://schemas.openxmlformats.org/officeDocument/2006/relationships/image" Target="media/rId166.png"/><Relationship Id="rId163" Type="http://schemas.openxmlformats.org/officeDocument/2006/relationships/image" Target="media/rId163.png"/><Relationship Id="rId111" Type="http://schemas.openxmlformats.org/officeDocument/2006/relationships/image" Target="media/rId111.png"/><Relationship Id="rId149" Type="http://schemas.openxmlformats.org/officeDocument/2006/relationships/image" Target="media/rId149.png"/><Relationship Id="rId136" Type="http://schemas.openxmlformats.org/officeDocument/2006/relationships/image" Target="media/rId136.png"/><Relationship Id="rId139" Type="http://schemas.openxmlformats.org/officeDocument/2006/relationships/image" Target="media/rId139.png"/><Relationship Id="rId225" Type="http://schemas.openxmlformats.org/officeDocument/2006/relationships/hyperlink" Target="https://www.cancerimagingarchive.net/data-usage-policies-and-restrictions/" TargetMode="External"/><Relationship Id="rId224" Type="http://schemas.openxmlformats.org/officeDocument/2006/relationships/hyperlink" Target="https://www.who.int/news-room/fact-sheets/detail/lung-cancer" TargetMode="External"/></Relationships>
</file>

<file path=word/_rels/footnotes.xml.rels><?xml version='1.0' encoding='UTF-8' standalone='yes'?>
<Relationships xmlns="http://schemas.openxmlformats.org/package/2006/relationships"><Relationship Id="rId225" Type="http://schemas.openxmlformats.org/officeDocument/2006/relationships/hyperlink" Target="https://www.cancerimagingarchive.net/data-usage-policies-and-restrictions/" TargetMode="External"/><Relationship Id="rId224" Type="http://schemas.openxmlformats.org/officeDocument/2006/relationships/hyperlink" Target="https://www.who.int/news-room/fact-sheets/detail/lung-canc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2026-10-29T05:31:29Z</dcterms:created>
  <dcterms:modified xsi:type="dcterms:W3CDTF">2026-10-29T05:31:29Z</dcterms:modified>
</cp:coreProperties>
</file>

<file path=docProps/custom.xml><?xml version="1.0" encoding="utf-8"?>
<Properties xmlns="http://schemas.openxmlformats.org/officeDocument/2006/custom-properties" xmlns:vt="http://schemas.openxmlformats.org/officeDocument/2006/docPropsVTypes"/>
</file>