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Book Table 1. Sample Architecture and Headline FE-IV Estimates Across Parts A-C</w:t>
      </w:r>
    </w:p>
    <w:tbl>
      <w:tblPr>
        <w:tblStyle w:val="Table"/>
        <w:tblW w:type="pct" w:w="4696"/>
        <w:tblLayout w:type="fixed"/>
        <w:tblLook w:firstRow="1" w:lastRow="1" w:firstColumn="0" w:lastColumn="0" w:noHBand="0" w:noVBand="0" w:val="0020"/>
        <w:tblCaption w:val="Book Table 1. Sample Architecture and Headline FE-IV Estimates Across Parts A-C"/>
      </w:tblPr>
      <w:tblGrid>
        <w:gridCol w:w="481"/>
        <w:gridCol w:w="481"/>
        <w:gridCol w:w="1337"/>
        <w:gridCol w:w="856"/>
        <w:gridCol w:w="642"/>
        <w:gridCol w:w="588"/>
        <w:gridCol w:w="642"/>
        <w:gridCol w:w="642"/>
        <w:gridCol w:w="802"/>
        <w:gridCol w:w="481"/>
        <w:gridCol w:w="4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Key regressor</w:t>
            </w:r>
          </w:p>
        </w:tc>
        <w:tc>
          <w:tcPr/>
          <w:p>
            <w:pPr>
              <w:pStyle w:val="Compact"/>
            </w:pPr>
            <w:r>
              <w:t xml:space="preserve">Countries</w:t>
            </w:r>
          </w:p>
        </w:tc>
        <w:tc>
          <w:tcPr/>
          <w:p>
            <w:pPr>
              <w:pStyle w:val="Compact"/>
            </w:pPr>
            <w:r>
              <w:t xml:space="preserve">Pairs</w:t>
            </w:r>
          </w:p>
        </w:tc>
        <w:tc>
          <w:tcPr/>
          <w:p>
            <w:pPr>
              <w:pStyle w:val="Compact"/>
            </w:pPr>
            <w:r>
              <w:t xml:space="preserve">Obs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t xml:space="preserve">beta (FE-IV)</w:t>
            </w:r>
          </w:p>
        </w:tc>
        <w:tc>
          <w:tcPr/>
          <w:p>
            <w:pPr>
              <w:pStyle w:val="Compact"/>
            </w:pPr>
            <w:r>
              <w:t xml:space="preserve">SE</w:t>
            </w:r>
          </w:p>
        </w:tc>
        <w:tc>
          <w:tcPr/>
          <w:p>
            <w:pPr>
              <w:pStyle w:val="Compact"/>
            </w:pPr>
            <w:r>
              <w:t xml:space="preserve">p&lt;0.10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A</w:t>
            </w:r>
          </w:p>
        </w:tc>
        <w:tc>
          <w:tcPr/>
          <w:p>
            <w:pPr>
              <w:pStyle w:val="Compact"/>
            </w:pPr>
            <w:r>
              <w:t xml:space="preserve">OECD</w:t>
            </w:r>
          </w:p>
        </w:tc>
        <w:tc>
          <w:tcPr/>
          <w:p>
            <w:pPr>
              <w:pStyle w:val="Compact"/>
            </w:pPr>
            <w:r>
              <w:t xml:space="preserve">ln CO2 intensity</w:t>
            </w:r>
          </w:p>
        </w:tc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25.0000</w:t>
            </w:r>
          </w:p>
        </w:tc>
        <w:tc>
          <w:tcPr/>
          <w:p>
            <w:pPr>
              <w:pStyle w:val="Compact"/>
            </w:pPr>
            <w:r>
              <w:t xml:space="preserve">75.0000</w:t>
            </w:r>
          </w:p>
        </w:tc>
        <w:tc>
          <w:tcPr/>
          <w:p>
            <w:pPr>
              <w:pStyle w:val="Compact"/>
            </w:pPr>
            <w:r>
              <w:t xml:space="preserve">936.0000</w:t>
            </w:r>
          </w:p>
        </w:tc>
        <w:tc>
          <w:tcPr/>
          <w:p>
            <w:pPr>
              <w:pStyle w:val="Compact"/>
            </w:pPr>
            <w:r>
              <w:t xml:space="preserve">2010-2022</w:t>
            </w:r>
          </w:p>
        </w:tc>
        <w:tc>
          <w:tcPr/>
          <w:p>
            <w:pPr>
              <w:pStyle w:val="Compact"/>
            </w:pPr>
            <w:r>
              <w:t xml:space="preserve">-0.0965</w:t>
            </w:r>
          </w:p>
        </w:tc>
        <w:tc>
          <w:tcPr/>
          <w:p>
            <w:pPr>
              <w:pStyle w:val="Compact"/>
            </w:pPr>
            <w:r>
              <w:t xml:space="preserve">0.0327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A</w:t>
            </w:r>
          </w:p>
        </w:tc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ln CO2 intensity</w:t>
            </w:r>
          </w:p>
        </w:tc>
        <w:tc>
          <w:tcPr/>
          <w:p>
            <w:pPr>
              <w:pStyle w:val="Compact"/>
            </w:pPr>
            <w:r>
              <w:t xml:space="preserve">AIPI_EM</w:t>
            </w:r>
          </w:p>
        </w:tc>
        <w:tc>
          <w:tcPr/>
          <w:p>
            <w:pPr>
              <w:pStyle w:val="Compact"/>
            </w:pPr>
            <w:r>
              <w:t xml:space="preserve">43.0000</w:t>
            </w:r>
          </w:p>
        </w:tc>
        <w:tc>
          <w:tcPr/>
          <w:p>
            <w:pPr>
              <w:pStyle w:val="Compact"/>
            </w:pPr>
            <w:r>
              <w:t xml:space="preserve">74.0000</w:t>
            </w:r>
          </w:p>
        </w:tc>
        <w:tc>
          <w:tcPr/>
          <w:p>
            <w:pPr>
              <w:pStyle w:val="Compact"/>
            </w:pPr>
            <w:r>
              <w:t xml:space="preserve">591.0000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0.8012</w:t>
            </w:r>
          </w:p>
        </w:tc>
        <w:tc>
          <w:tcPr/>
          <w:p>
            <w:pPr>
              <w:pStyle w:val="Compact"/>
            </w:pPr>
            <w:r>
              <w:t xml:space="preserve">0.6953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B</w:t>
            </w:r>
          </w:p>
        </w:tc>
        <w:tc>
          <w:tcPr/>
          <w:p>
            <w:pPr>
              <w:pStyle w:val="Compact"/>
            </w:pPr>
            <w:r>
              <w:t xml:space="preserve">OECD</w:t>
            </w:r>
          </w:p>
        </w:tc>
        <w:tc>
          <w:tcPr/>
          <w:p>
            <w:pPr>
              <w:pStyle w:val="Compact"/>
            </w:pPr>
            <w:r>
              <w:t xml:space="preserve">ln labour productivity</w:t>
            </w:r>
          </w:p>
        </w:tc>
        <w:tc>
          <w:tcPr/>
          <w:p>
            <w:pPr>
              <w:pStyle w:val="Compact"/>
            </w:pPr>
            <w:r>
              <w:t xml:space="preserve">ln_GTI</w:t>
            </w:r>
          </w:p>
        </w:tc>
        <w:tc>
          <w:tcPr/>
          <w:p>
            <w:pPr>
              <w:pStyle w:val="Compact"/>
            </w:pPr>
            <w:r>
              <w:t xml:space="preserve">25.0000</w:t>
            </w:r>
          </w:p>
        </w:tc>
        <w:tc>
          <w:tcPr/>
          <w:p>
            <w:pPr>
              <w:pStyle w:val="Compact"/>
            </w:pPr>
            <w:r>
              <w:t xml:space="preserve">175.0000</w:t>
            </w:r>
          </w:p>
        </w:tc>
        <w:tc>
          <w:tcPr/>
          <w:p>
            <w:pPr>
              <w:pStyle w:val="Compact"/>
            </w:pPr>
            <w:r>
              <w:t xml:space="preserve">1847.0000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0.0187</w:t>
            </w:r>
          </w:p>
        </w:tc>
        <w:tc>
          <w:tcPr/>
          <w:p>
            <w:pPr>
              <w:pStyle w:val="Compact"/>
            </w:pPr>
            <w:r>
              <w:t xml:space="preserve">0.0069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B</w:t>
            </w:r>
          </w:p>
        </w:tc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ln labour productivity</w:t>
            </w:r>
          </w:p>
        </w:tc>
        <w:tc>
          <w:tcPr/>
          <w:p>
            <w:pPr>
              <w:pStyle w:val="Compact"/>
            </w:pPr>
            <w:r>
              <w:t xml:space="preserve">ln_GTI_EM</w:t>
            </w:r>
          </w:p>
        </w:tc>
        <w:tc>
          <w:tcPr/>
          <w:p>
            <w:pPr>
              <w:pStyle w:val="Compact"/>
            </w:pPr>
            <w:r>
              <w:t xml:space="preserve">43.0000</w:t>
            </w:r>
          </w:p>
        </w:tc>
        <w:tc>
          <w:tcPr/>
          <w:p>
            <w:pPr>
              <w:pStyle w:val="Compact"/>
            </w:pPr>
            <w:r>
              <w:t xml:space="preserve">72.0000</w:t>
            </w:r>
          </w:p>
        </w:tc>
        <w:tc>
          <w:tcPr/>
          <w:p>
            <w:pPr>
              <w:pStyle w:val="Compact"/>
            </w:pPr>
            <w:r>
              <w:t xml:space="preserve">536.0000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0.2132</w:t>
            </w:r>
          </w:p>
        </w:tc>
        <w:tc>
          <w:tcPr/>
          <w:p>
            <w:pPr>
              <w:pStyle w:val="Compact"/>
            </w:pPr>
            <w:r>
              <w:t xml:space="preserve">0.2033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C</w:t>
            </w:r>
          </w:p>
        </w:tc>
        <w:tc>
          <w:tcPr/>
          <w:p>
            <w:pPr>
              <w:pStyle w:val="Compact"/>
            </w:pPr>
            <w:r>
              <w:t xml:space="preserve">OECD</w:t>
            </w:r>
          </w:p>
        </w:tc>
        <w:tc>
          <w:tcPr/>
          <w:p>
            <w:pPr>
              <w:pStyle w:val="Compact"/>
            </w:pPr>
            <w:r>
              <w:t xml:space="preserve">ln labour income share</w:t>
            </w:r>
          </w:p>
        </w:tc>
        <w:tc>
          <w:tcPr/>
          <w:p>
            <w:pPr>
              <w:pStyle w:val="Compact"/>
            </w:pPr>
            <w:r>
              <w:t xml:space="preserve">AIPI</w:t>
            </w:r>
          </w:p>
        </w:tc>
        <w:tc>
          <w:tcPr/>
          <w:p>
            <w:pPr>
              <w:pStyle w:val="Compact"/>
            </w:pPr>
            <w:r>
              <w:t xml:space="preserve">25.0000</w:t>
            </w:r>
          </w:p>
        </w:tc>
        <w:tc>
          <w:tcPr/>
          <w:p>
            <w:pPr>
              <w:pStyle w:val="Compact"/>
            </w:pPr>
            <w:r>
              <w:t xml:space="preserve">250.0000</w:t>
            </w:r>
          </w:p>
        </w:tc>
        <w:tc>
          <w:tcPr/>
          <w:p>
            <w:pPr>
              <w:pStyle w:val="Compact"/>
            </w:pPr>
            <w:r>
              <w:t xml:space="preserve">3120.0000</w:t>
            </w:r>
          </w:p>
        </w:tc>
        <w:tc>
          <w:tcPr/>
          <w:p>
            <w:pPr>
              <w:pStyle w:val="Compact"/>
            </w:pPr>
            <w:r>
              <w:t xml:space="preserve">2010-2022</w:t>
            </w:r>
          </w:p>
        </w:tc>
        <w:tc>
          <w:tcPr/>
          <w:p>
            <w:pPr>
              <w:pStyle w:val="Compact"/>
            </w:pPr>
            <w:r>
              <w:t xml:space="preserve">0.0114</w:t>
            </w:r>
          </w:p>
        </w:tc>
        <w:tc>
          <w:tcPr/>
          <w:p>
            <w:pPr>
              <w:pStyle w:val="Compact"/>
            </w:pPr>
            <w:r>
              <w:t xml:space="preserve">0.0255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 C</w:t>
            </w:r>
          </w:p>
        </w:tc>
        <w:tc>
          <w:tcPr/>
          <w:p>
            <w:pPr>
              <w:pStyle w:val="Compact"/>
            </w:pPr>
            <w:r>
              <w:t xml:space="preserve">EM</w:t>
            </w:r>
          </w:p>
        </w:tc>
        <w:tc>
          <w:tcPr/>
          <w:p>
            <w:pPr>
              <w:pStyle w:val="Compact"/>
            </w:pPr>
            <w:r>
              <w:t xml:space="preserve">ln labour income share</w:t>
            </w:r>
          </w:p>
        </w:tc>
        <w:tc>
          <w:tcPr/>
          <w:p>
            <w:pPr>
              <w:pStyle w:val="Compact"/>
            </w:pPr>
            <w:r>
              <w:t xml:space="preserve">AIPI_EM</w:t>
            </w:r>
          </w:p>
        </w:tc>
        <w:tc>
          <w:tcPr/>
          <w:p>
            <w:pPr>
              <w:pStyle w:val="Compact"/>
            </w:pPr>
            <w:r>
              <w:t xml:space="preserve">39.0000</w:t>
            </w:r>
          </w:p>
        </w:tc>
        <w:tc>
          <w:tcPr/>
          <w:p>
            <w:pPr>
              <w:pStyle w:val="Compact"/>
            </w:pPr>
            <w:r>
              <w:t xml:space="preserve">67.0000</w:t>
            </w:r>
          </w:p>
        </w:tc>
        <w:tc>
          <w:tcPr/>
          <w:p>
            <w:pPr>
              <w:pStyle w:val="Compact"/>
            </w:pPr>
            <w:r>
              <w:t xml:space="preserve">530.0000</w:t>
            </w:r>
          </w:p>
        </w:tc>
        <w:tc>
          <w:tcPr/>
          <w:p>
            <w:pPr>
              <w:pStyle w:val="Compact"/>
            </w:pPr>
            <w:r>
              <w:t xml:space="preserve">2012-2022</w:t>
            </w:r>
          </w:p>
        </w:tc>
        <w:tc>
          <w:tcPr/>
          <w:p>
            <w:pPr>
              <w:pStyle w:val="Compact"/>
            </w:pPr>
            <w:r>
              <w:t xml:space="preserve">0.4550</w:t>
            </w:r>
          </w:p>
        </w:tc>
        <w:tc>
          <w:tcPr/>
          <w:p>
            <w:pPr>
              <w:pStyle w:val="Compact"/>
            </w:pPr>
            <w:r>
              <w:t xml:space="preserve">0.3392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Pairs = country x industry. beta = coefficient on the part’s key technology regressor (FE-IV main spec).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2026-07-22T06:29:58Z</dcterms:created>
  <dcterms:modified xsi:type="dcterms:W3CDTF">2026-07-22T06:29:58Z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