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Book Table 2. Headline FE-IV Estimates Across Parts A-C: Environment, Efficiency and Distribution (OECD vs EM)</w:t>
      </w:r>
    </w:p>
    <w:tbl>
      <w:tblPr>
        <w:tblStyle w:val="Table"/>
        <w:tblW w:type="pct" w:w="4881"/>
        <w:tblLayout w:type="fixed"/>
        <w:tblLook w:firstRow="1" w:lastRow="1" w:firstColumn="0" w:lastColumn="0" w:noHBand="0" w:noVBand="0" w:val="0020"/>
        <w:tblCaption w:val="Book Table 2. Headline FE-IV Estimates Across Parts A-C: Environment, Efficiency and Distribution (OECD vs EM)"/>
      </w:tblPr>
      <w:tblGrid>
        <w:gridCol w:w="1470"/>
        <w:gridCol w:w="1056"/>
        <w:gridCol w:w="980"/>
        <w:gridCol w:w="1056"/>
        <w:gridCol w:w="980"/>
        <w:gridCol w:w="1131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Part A OECD: CO2 int.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Part A EM: CO2 int.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Part B OECD: Product.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Part B EM: Product.</w:t>
            </w:r>
          </w:p>
        </w:tc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Part C OECD: Lab. share</w:t>
            </w:r>
          </w:p>
        </w:tc>
        <w:tc>
          <w:tcPr/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Part C EM: Lab.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[OECD]</w:t>
            </w:r>
          </w:p>
        </w:tc>
        <w:tc>
          <w:tcPr/>
          <w:p>
            <w:pPr>
              <w:pStyle w:val="Compact"/>
            </w:pPr>
            <w:r>
              <w:t xml:space="preserve">-0.0965***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(0.0327)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0.8012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0.4550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(0.6953)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Tech Intensity (ln, IV) [OECD]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0.0187***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Green Tech Intensity (ln, IV)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(0.2033)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-0.2587</w:t>
            </w:r>
          </w:p>
        </w:tc>
        <w:tc>
          <w:tcPr/>
          <w:p>
            <w:pPr>
              <w:pStyle w:val="Compact"/>
            </w:pPr>
            <w:r>
              <w:t xml:space="preserve">-0.5671</w:t>
            </w:r>
          </w:p>
        </w:tc>
        <w:tc>
          <w:tcPr/>
          <w:p>
            <w:pPr>
              <w:pStyle w:val="Compact"/>
            </w:pPr>
            <w:r>
              <w:t xml:space="preserve">0.5151*</w:t>
            </w:r>
          </w:p>
        </w:tc>
        <w:tc>
          <w:tcPr/>
          <w:p>
            <w:pPr>
              <w:pStyle w:val="Compact"/>
            </w:pPr>
            <w:r>
              <w:t xml:space="preserve">0.8572**</w:t>
            </w:r>
          </w:p>
        </w:tc>
        <w:tc>
          <w:tcPr/>
          <w:p>
            <w:pPr>
              <w:pStyle w:val="Compact"/>
            </w:pPr>
            <w:r>
              <w:t xml:space="preserve">-0.2376*</w:t>
            </w:r>
          </w:p>
        </w:tc>
        <w:tc>
          <w:tcPr/>
          <w:p>
            <w:pPr>
              <w:pStyle w:val="Compact"/>
            </w:pPr>
            <w:r>
              <w:t xml:space="preserve">0.0411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(0.2751)</w:t>
            </w:r>
          </w:p>
        </w:tc>
        <w:tc>
          <w:tcPr/>
          <w:p>
            <w:pPr>
              <w:pStyle w:val="Compact"/>
            </w:pPr>
            <w:r>
              <w:t xml:space="preserve">(0.6710)</w:t>
            </w:r>
          </w:p>
        </w:tc>
        <w:tc>
          <w:tcPr/>
          <w:p>
            <w:pPr>
              <w:pStyle w:val="Compact"/>
            </w:pPr>
            <w:r>
              <w:t xml:space="preserve">(0.2664)</w:t>
            </w:r>
          </w:p>
        </w:tc>
        <w:tc>
          <w:tcPr/>
          <w:p>
            <w:pPr>
              <w:pStyle w:val="Compact"/>
            </w:pPr>
            <w:r>
              <w:t xml:space="preserve">(0.3390)</w:t>
            </w:r>
          </w:p>
        </w:tc>
        <w:tc>
          <w:tcPr/>
          <w:p>
            <w:pPr>
              <w:pStyle w:val="Compact"/>
            </w:pPr>
            <w:r>
              <w:t xml:space="preserve">(0.1353)</w:t>
            </w:r>
          </w:p>
        </w:tc>
        <w:tc>
          <w:tcPr/>
          <w:p>
            <w:pPr>
              <w:pStyle w:val="Compact"/>
            </w:pPr>
            <w:r>
              <w:t xml:space="preserve">(0.3925)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-0.0197**</w:t>
            </w:r>
          </w:p>
        </w:tc>
        <w:tc>
          <w:tcPr/>
          <w:p>
            <w:pPr>
              <w:pStyle w:val="Compact"/>
            </w:pPr>
            <w:r>
              <w:t xml:space="preserve">-0.0238</w:t>
            </w:r>
          </w:p>
        </w:tc>
        <w:tc>
          <w:tcPr/>
          <w:p>
            <w:pPr>
              <w:pStyle w:val="Compact"/>
            </w:pPr>
            <w:r>
              <w:t xml:space="preserve">-0.0015</w:t>
            </w:r>
          </w:p>
        </w:tc>
        <w:tc>
          <w:tcPr/>
          <w:p>
            <w:pPr>
              <w:pStyle w:val="Compact"/>
            </w:pPr>
            <w:r>
              <w:t xml:space="preserve">-0.0019</w:t>
            </w:r>
          </w:p>
        </w:tc>
        <w:tc>
          <w:tcPr/>
          <w:p>
            <w:pPr>
              <w:pStyle w:val="Compact"/>
            </w:pPr>
            <w:r>
              <w:t xml:space="preserve">0.0026</w:t>
            </w:r>
          </w:p>
        </w:tc>
        <w:tc>
          <w:tcPr/>
          <w:p>
            <w:pPr>
              <w:pStyle w:val="Compact"/>
            </w:pPr>
            <w:r>
              <w:t xml:space="preserve">-0.0047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(0.0085)</w:t>
            </w:r>
          </w:p>
        </w:tc>
        <w:tc>
          <w:tcPr/>
          <w:p>
            <w:pPr>
              <w:pStyle w:val="Compact"/>
            </w:pPr>
            <w:r>
              <w:t xml:space="preserve">(0.0176)</w:t>
            </w:r>
          </w:p>
        </w:tc>
        <w:tc>
          <w:tcPr/>
          <w:p>
            <w:pPr>
              <w:pStyle w:val="Compact"/>
            </w:pPr>
            <w:r>
              <w:t xml:space="preserve">(0.0028)</w:t>
            </w:r>
          </w:p>
        </w:tc>
        <w:tc>
          <w:tcPr/>
          <w:p>
            <w:pPr>
              <w:pStyle w:val="Compact"/>
            </w:pPr>
            <w:r>
              <w:t xml:space="preserve">(0.0089)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  <w:tc>
          <w:tcPr/>
          <w:p>
            <w:pPr>
              <w:pStyle w:val="Compact"/>
            </w:pPr>
            <w:r>
              <w:t xml:space="preserve">(0.0070)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</w:t>
            </w:r>
          </w:p>
        </w:tc>
        <w:tc>
          <w:tcPr/>
          <w:p>
            <w:pPr>
              <w:pStyle w:val="Compact"/>
            </w:pPr>
            <w:r>
              <w:t xml:space="preserve">0.4034**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-0.3906**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0.6555***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(0.1795)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(0.1395)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0.0182</w:t>
            </w:r>
          </w:p>
        </w:tc>
        <w:tc>
          <w:tcPr/>
          <w:p>
            <w:pPr>
              <w:pStyle w:val="Compact"/>
            </w:pPr>
            <w:r>
              <w:t xml:space="preserve">-0.1322</w:t>
            </w:r>
          </w:p>
        </w:tc>
        <w:tc>
          <w:tcPr/>
          <w:p>
            <w:pPr>
              <w:pStyle w:val="Compact"/>
            </w:pPr>
            <w:r>
              <w:t xml:space="preserve">-0.0063</w:t>
            </w:r>
          </w:p>
        </w:tc>
        <w:tc>
          <w:tcPr/>
          <w:p>
            <w:pPr>
              <w:pStyle w:val="Compact"/>
            </w:pPr>
            <w:r>
              <w:t xml:space="preserve">-0.6052*</w:t>
            </w:r>
          </w:p>
        </w:tc>
        <w:tc>
          <w:tcPr/>
          <w:p>
            <w:pPr>
              <w:pStyle w:val="Compact"/>
            </w:pPr>
            <w:r>
              <w:t xml:space="preserve">0.0397*</w:t>
            </w:r>
          </w:p>
        </w:tc>
        <w:tc>
          <w:tcPr/>
          <w:p>
            <w:pPr>
              <w:pStyle w:val="Compact"/>
            </w:pPr>
            <w:r>
              <w:t xml:space="preserve">-0.1801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(0.0552)</w:t>
            </w:r>
          </w:p>
        </w:tc>
        <w:tc>
          <w:tcPr/>
          <w:p>
            <w:pPr>
              <w:pStyle w:val="Compact"/>
            </w:pPr>
            <w:r>
              <w:t xml:space="preserve">(0.5583)</w:t>
            </w:r>
          </w:p>
        </w:tc>
        <w:tc>
          <w:tcPr/>
          <w:p>
            <w:pPr>
              <w:pStyle w:val="Compact"/>
            </w:pPr>
            <w:r>
              <w:t xml:space="preserve">(0.0307)</w:t>
            </w:r>
          </w:p>
        </w:tc>
        <w:tc>
          <w:tcPr/>
          <w:p>
            <w:pPr>
              <w:pStyle w:val="Compact"/>
            </w:pPr>
            <w:r>
              <w:t xml:space="preserve">(0.3381)</w:t>
            </w:r>
          </w:p>
        </w:tc>
        <w:tc>
          <w:tcPr/>
          <w:p>
            <w:pPr>
              <w:pStyle w:val="Compact"/>
            </w:pPr>
            <w:r>
              <w:t xml:space="preserve">(0.0229)</w:t>
            </w:r>
          </w:p>
        </w:tc>
        <w:tc>
          <w:tcPr/>
          <w:p>
            <w:pPr>
              <w:pStyle w:val="Compact"/>
            </w:pPr>
            <w:r>
              <w:t xml:space="preserve">(0.2275)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GDP)</w:t>
            </w:r>
          </w:p>
        </w:tc>
        <w:tc>
          <w:tcPr/>
          <w:p>
            <w:pPr>
              <w:pStyle w:val="Compact"/>
            </w:pPr>
            <w:r>
              <w:t xml:space="preserve">-0.0010</w:t>
            </w:r>
          </w:p>
        </w:tc>
        <w:tc>
          <w:tcPr/>
          <w:p>
            <w:pPr>
              <w:pStyle w:val="Compact"/>
            </w:pPr>
            <w:r>
              <w:t xml:space="preserve">-0.0006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-0.0011</w:t>
            </w:r>
          </w:p>
        </w:tc>
        <w:tc>
          <w:tcPr/>
          <w:p>
            <w:pPr>
              <w:pStyle w:val="Compact"/>
            </w:pPr>
            <w:r>
              <w:t xml:space="preserve">-0.0060**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(0.0015)</w:t>
            </w:r>
          </w:p>
        </w:tc>
        <w:tc>
          <w:tcPr/>
          <w:p>
            <w:pPr>
              <w:pStyle w:val="Compact"/>
            </w:pPr>
            <w:r>
              <w:t xml:space="preserve">(0.0055)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Broadband (per 100)</w:t>
            </w:r>
          </w:p>
        </w:tc>
        <w:tc>
          <w:tcPr/>
          <w:p>
            <w:pPr>
              <w:pStyle w:val="Compact"/>
            </w:pPr>
            <w:r>
              <w:t xml:space="preserve">0.0060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-0.0077**</w:t>
            </w:r>
          </w:p>
        </w:tc>
        <w:tc>
          <w:tcPr/>
          <w:p>
            <w:pPr>
              <w:pStyle w:val="Compact"/>
            </w:pPr>
            <w:r>
              <w:t xml:space="preserve">0.0185**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(0.0032)</w:t>
            </w:r>
          </w:p>
        </w:tc>
        <w:tc>
          <w:tcPr/>
          <w:p>
            <w:pPr>
              <w:pStyle w:val="Compact"/>
            </w:pPr>
            <w:r>
              <w:t xml:space="preserve">(0.0088)</w:t>
            </w:r>
          </w:p>
        </w:tc>
        <w:tc>
          <w:tcPr/>
          <w:p>
            <w:pPr>
              <w:pStyle w:val="Compact"/>
            </w:pPr>
            <w:r>
              <w:t xml:space="preserve">(0.0032)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Tertiary enrollment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0.0014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  <w:tc>
          <w:tcPr/>
          <w:p>
            <w:pPr>
              <w:pStyle w:val="Compact"/>
            </w:pPr>
            <w:r>
              <w:t xml:space="preserve">(0.0027)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Governance (WGI)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0.0771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0.0472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0.2258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(0.4325)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(0.1838)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936</w:t>
            </w:r>
          </w:p>
        </w:tc>
        <w:tc>
          <w:tcPr/>
          <w:p>
            <w:pPr>
              <w:pStyle w:val="Compact"/>
            </w:pPr>
            <w:r>
              <w:t xml:space="preserve">591</w:t>
            </w:r>
          </w:p>
        </w:tc>
        <w:tc>
          <w:tcPr/>
          <w:p>
            <w:pPr>
              <w:pStyle w:val="Compact"/>
            </w:pPr>
            <w:r>
              <w:t xml:space="preserve">1847</w:t>
            </w:r>
          </w:p>
        </w:tc>
        <w:tc>
          <w:tcPr/>
          <w:p>
            <w:pPr>
              <w:pStyle w:val="Compact"/>
            </w:pPr>
            <w:r>
              <w:t xml:space="preserve">536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Each column re-estimates the MAIN FE-IV specification of the corresponding part.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Part A: AIPI -&gt; ln CO2 emission intensity. Part B: ln GTI -&gt; ln labor productivity.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Part C: AIPI -&gt; ln labor income share. Samples and IVs differ by design across parts.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SE clustered at pair level. Alpha = 0.10. * p&lt;0.10, ** p&lt;0.05, *** p&lt;0.01.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2026-07-22T06:29:59Z</dcterms:created>
  <dcterms:modified xsi:type="dcterms:W3CDTF">2026-07-22T06:29:59Z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