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Book Table 5. Instrument Validity and Subsample Robustness (OECD Panel)</w:t>
      </w:r>
    </w:p>
    <w:tbl>
      <w:tblPr>
        <w:tblStyle w:val="Table"/>
        <w:tblW w:type="pct" w:w="4924"/>
        <w:tblLayout w:type="fixed"/>
        <w:tblLook w:firstRow="1" w:lastRow="1" w:firstColumn="0" w:lastColumn="0" w:noHBand="0" w:noVBand="0" w:val="0020"/>
        <w:tblCaption w:val="Book Table 5. Instrument Validity and Subsample Robustness (OECD Panel)"/>
      </w:tblPr>
      <w:tblGrid>
        <w:gridCol w:w="3240"/>
        <w:gridCol w:w="2100"/>
        <w:gridCol w:w="126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First stage (AIPI ~ AIPI_bartik)</w:t>
            </w:r>
          </w:p>
        </w:tc>
        <w:tc>
          <w:tcPr/>
          <w:p>
            <w:pPr>
              <w:pStyle w:val="Compact"/>
            </w:pPr>
            <w:r>
              <w:t xml:space="preserve">(R1a) High-capital</w:t>
            </w:r>
          </w:p>
        </w:tc>
        <w:tc>
          <w:tcPr/>
          <w:p>
            <w:pPr>
              <w:pStyle w:val="Compact"/>
            </w:pPr>
            <w:r>
              <w:t xml:space="preserve">(R1b) Low-capital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AIPI_bartik [instrument]</w:t>
            </w:r>
          </w:p>
        </w:tc>
        <w:tc>
          <w:tcPr/>
          <w:p>
            <w:pPr>
              <w:pStyle w:val="Compact"/>
            </w:pPr>
            <w:r>
              <w:t xml:space="preserve">0.7316***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(0.0402)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-0.0133</w:t>
            </w:r>
          </w:p>
        </w:tc>
        <w:tc>
          <w:tcPr/>
          <w:p>
            <w:pPr>
              <w:pStyle w:val="Compact"/>
            </w:pPr>
            <w:r>
              <w:t xml:space="preserve">0.0365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(0.0341)</w:t>
            </w:r>
          </w:p>
        </w:tc>
        <w:tc>
          <w:tcPr/>
          <w:p>
            <w:pPr>
              <w:pStyle w:val="Compact"/>
            </w:pPr>
            <w:r>
              <w:t xml:space="preserve">(0.0336)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-0.2645</w:t>
            </w:r>
          </w:p>
        </w:tc>
        <w:tc>
          <w:tcPr/>
          <w:p>
            <w:pPr>
              <w:pStyle w:val="Compact"/>
            </w:pPr>
            <w:r>
              <w:t xml:space="preserve">-0.1335</w:t>
            </w:r>
          </w:p>
        </w:tc>
        <w:tc>
          <w:tcPr/>
          <w:p>
            <w:pPr>
              <w:pStyle w:val="Compact"/>
            </w:pPr>
            <w:r>
              <w:t xml:space="preserve">-0.2447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(0.1925)</w:t>
            </w:r>
          </w:p>
        </w:tc>
        <w:tc>
          <w:tcPr/>
          <w:p>
            <w:pPr>
              <w:pStyle w:val="Compact"/>
            </w:pPr>
            <w:r>
              <w:t xml:space="preserve">(0.1497)</w:t>
            </w:r>
          </w:p>
        </w:tc>
        <w:tc>
          <w:tcPr/>
          <w:p>
            <w:pPr>
              <w:pStyle w:val="Compact"/>
            </w:pPr>
            <w:r>
              <w:t xml:space="preserve">(0.1803)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-0.0043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(0.0064)</w:t>
            </w:r>
          </w:p>
        </w:tc>
        <w:tc>
          <w:tcPr/>
          <w:p>
            <w:pPr>
              <w:pStyle w:val="Compact"/>
            </w:pPr>
            <w:r>
              <w:t xml:space="preserve">(0.0038)</w:t>
            </w:r>
          </w:p>
        </w:tc>
        <w:tc>
          <w:tcPr/>
          <w:p>
            <w:pPr>
              <w:pStyle w:val="Compact"/>
            </w:pPr>
            <w:r>
              <w:t xml:space="preserve">(0.0044)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0.2144**</w:t>
            </w:r>
          </w:p>
        </w:tc>
        <w:tc>
          <w:tcPr/>
          <w:p>
            <w:pPr>
              <w:pStyle w:val="Compact"/>
            </w:pPr>
            <w:r>
              <w:t xml:space="preserve">0.6164***</w:t>
            </w:r>
          </w:p>
        </w:tc>
        <w:tc>
          <w:tcPr/>
          <w:p>
            <w:pPr>
              <w:pStyle w:val="Compact"/>
            </w:pPr>
            <w:r>
              <w:t xml:space="preserve">0.3978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(0.0968)</w:t>
            </w:r>
          </w:p>
        </w:tc>
        <w:tc>
          <w:tcPr/>
          <w:p>
            <w:pPr>
              <w:pStyle w:val="Compact"/>
            </w:pPr>
            <w:r>
              <w:t xml:space="preserve">(0.1449)</w:t>
            </w:r>
          </w:p>
        </w:tc>
        <w:tc>
          <w:tcPr/>
          <w:p>
            <w:pPr>
              <w:pStyle w:val="Compact"/>
            </w:pPr>
            <w:r>
              <w:t xml:space="preserve">(0.2520)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0.2055***</w:t>
            </w:r>
          </w:p>
        </w:tc>
        <w:tc>
          <w:tcPr/>
          <w:p>
            <w:pPr>
              <w:pStyle w:val="Compact"/>
            </w:pPr>
            <w:r>
              <w:t xml:space="preserve">0.0460</w:t>
            </w:r>
          </w:p>
        </w:tc>
        <w:tc>
          <w:tcPr/>
          <w:p>
            <w:pPr>
              <w:pStyle w:val="Compact"/>
            </w:pPr>
            <w:r>
              <w:t xml:space="preserve">0.0255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(0.0444)</w:t>
            </w:r>
          </w:p>
        </w:tc>
        <w:tc>
          <w:tcPr/>
          <w:p>
            <w:pPr>
              <w:pStyle w:val="Compact"/>
            </w:pPr>
            <w:r>
              <w:t xml:space="preserve">(0.0306)</w:t>
            </w:r>
          </w:p>
        </w:tc>
        <w:tc>
          <w:tcPr/>
          <w:p>
            <w:pPr>
              <w:pStyle w:val="Compact"/>
            </w:pPr>
            <w:r>
              <w:t xml:space="preserve">(0.0275)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-0.0037**</w:t>
            </w:r>
          </w:p>
        </w:tc>
        <w:tc>
          <w:tcPr/>
          <w:p>
            <w:pPr>
              <w:pStyle w:val="Compact"/>
            </w:pPr>
            <w:r>
              <w:t xml:space="preserve">-0.0004</w:t>
            </w:r>
          </w:p>
        </w:tc>
        <w:tc>
          <w:tcPr/>
          <w:p>
            <w:pPr>
              <w:pStyle w:val="Compact"/>
            </w:pPr>
            <w:r>
              <w:t xml:space="preserve">-0.0015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(0.0014)</w:t>
            </w: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-0.0359***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0.0024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(0.0078)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  <w:tc>
          <w:tcPr/>
          <w:p>
            <w:pPr>
              <w:pStyle w:val="Compact"/>
            </w:pPr>
            <w:r>
              <w:t xml:space="preserve">(0.0045)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1549</w:t>
            </w:r>
          </w:p>
        </w:tc>
        <w:tc>
          <w:tcPr/>
          <w:p>
            <w:pPr>
              <w:pStyle w:val="Compact"/>
            </w:pPr>
            <w:r>
              <w:t xml:space="preserve">1553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0.941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0.918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0.397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First stage: DV = AIPI; instrument = AIPI_bartik (Bartik shift-share, other 24 OECD countries).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R1: FE-IV on high-capital (HighCapital=1) vs low-capital (HighCapital=0) subsamples,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country-specific median threshold.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2026-07-22T06:30:00Z</dcterms:created>
  <dcterms:modified xsi:type="dcterms:W3CDTF">2026-07-22T06:30:00Z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