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10. Source Robustness: EPO vs WIPO AI Patents, and Viet Nam In-Sample (EM, CO2 Intensity)</w:t>
      </w:r>
    </w:p>
    <w:tbl>
      <w:tblPr>
        <w:tblStyle w:val="Table"/>
        <w:tblW w:type="pct" w:w="4902"/>
        <w:tblLayout w:type="fixed"/>
        <w:tblLook w:firstRow="1" w:lastRow="1" w:firstColumn="0" w:lastColumn="0" w:noHBand="0" w:noVBand="0" w:val="0020"/>
        <w:tblCaption w:val="Table 10. Source Robustness: EPO vs WIPO AI Patents, and Viet Nam In-Sample (EM, CO2 Intensity)"/>
      </w:tblPr>
      <w:tblGrid>
        <w:gridCol w:w="2329"/>
        <w:gridCol w:w="1449"/>
        <w:gridCol w:w="1760"/>
        <w:gridCol w:w="776"/>
        <w:gridCol w:w="144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FE-IV, EPO AI patents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FE-IV, WIPO AI publications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FE, WIPO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 + ASEAN int., WIPO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[EPO source]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(0.695)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[WIPO]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-0.567</w:t>
            </w:r>
          </w:p>
        </w:tc>
        <w:tc>
          <w:tcPr/>
          <w:p>
            <w:pPr>
              <w:pStyle w:val="Compact"/>
            </w:pPr>
            <w:r>
              <w:t xml:space="preserve">-0.804*</w:t>
            </w:r>
          </w:p>
        </w:tc>
        <w:tc>
          <w:tcPr/>
          <w:p>
            <w:pPr>
              <w:pStyle w:val="Compact"/>
            </w:pPr>
            <w:r>
              <w:t xml:space="preserve">-0.753*</w:t>
            </w:r>
          </w:p>
        </w:tc>
        <w:tc>
          <w:tcPr/>
          <w:p>
            <w:pPr>
              <w:pStyle w:val="Compact"/>
            </w:pPr>
            <w:r>
              <w:t xml:space="preserve">-0.749*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(0.671)</w:t>
            </w:r>
          </w:p>
        </w:tc>
        <w:tc>
          <w:tcPr/>
          <w:p>
            <w:pPr>
              <w:pStyle w:val="Compact"/>
            </w:pPr>
            <w:r>
              <w:t xml:space="preserve">(0.417)</w:t>
            </w:r>
          </w:p>
        </w:tc>
        <w:tc>
          <w:tcPr/>
          <w:p>
            <w:pPr>
              <w:pStyle w:val="Compact"/>
            </w:pPr>
            <w:r>
              <w:t xml:space="preserve">(0.391)</w:t>
            </w:r>
          </w:p>
        </w:tc>
        <w:tc>
          <w:tcPr/>
          <w:p>
            <w:pPr>
              <w:pStyle w:val="Compact"/>
            </w:pPr>
            <w:r>
              <w:t xml:space="preserve">(0.392)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-0.028**</w:t>
            </w:r>
          </w:p>
        </w:tc>
        <w:tc>
          <w:tcPr/>
          <w:p>
            <w:pPr>
              <w:pStyle w:val="Compact"/>
            </w:pPr>
            <w:r>
              <w:t xml:space="preserve">-0.026**</w:t>
            </w:r>
          </w:p>
        </w:tc>
        <w:tc>
          <w:tcPr/>
          <w:p>
            <w:pPr>
              <w:pStyle w:val="Compact"/>
            </w:pPr>
            <w:r>
              <w:t xml:space="preserve">-0.026**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0.514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(0.558)</w:t>
            </w:r>
          </w:p>
        </w:tc>
        <w:tc>
          <w:tcPr/>
          <w:p>
            <w:pPr>
              <w:pStyle w:val="Compact"/>
            </w:pPr>
            <w:r>
              <w:t xml:space="preserve">(0.966)</w:t>
            </w:r>
          </w:p>
        </w:tc>
        <w:tc>
          <w:tcPr/>
          <w:p>
            <w:pPr>
              <w:pStyle w:val="Compact"/>
            </w:pPr>
            <w:r>
              <w:t xml:space="preserve">(0.325)</w:t>
            </w:r>
          </w:p>
        </w:tc>
        <w:tc>
          <w:tcPr/>
          <w:p>
            <w:pPr>
              <w:pStyle w:val="Compact"/>
            </w:pPr>
            <w:r>
              <w:t xml:space="preserve">(0.326)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-0.291</w:t>
            </w:r>
          </w:p>
        </w:tc>
        <w:tc>
          <w:tcPr/>
          <w:p>
            <w:pPr>
              <w:pStyle w:val="Compact"/>
            </w:pPr>
            <w:r>
              <w:t xml:space="preserve">-0.117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(0.433)</w:t>
            </w:r>
          </w:p>
        </w:tc>
        <w:tc>
          <w:tcPr/>
          <w:p>
            <w:pPr>
              <w:pStyle w:val="Compact"/>
            </w:pPr>
            <w:r>
              <w:t xml:space="preserve">(0.581)</w:t>
            </w:r>
          </w:p>
        </w:tc>
        <w:tc>
          <w:tcPr/>
          <w:p>
            <w:pPr>
              <w:pStyle w:val="Compact"/>
            </w:pPr>
            <w:r>
              <w:t xml:space="preserve">(0.308)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Cols (2)-(4): AIPI_alt from WIPO AI-related patent publications by origin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(indicator 4c), same C/D_E industry weighting, log(x+1), leave-one-out Bartik IV.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WIPO-based sample adds ASEAN countries absent from the EPO source: MMR, VNM.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Empty WIPO cells = zero publications (valid zeros).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2026-07-22T06:01:52Z</dcterms:created>
  <dcterms:modified xsi:type="dcterms:W3CDTF">2026-07-22T06:01:52Z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