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1. Descriptive Statistics: OECD Panel (25 Countries, 2010-2022)</w:t>
      </w:r>
    </w:p>
    <w:tbl>
      <w:tblPr>
        <w:tblStyle w:val="Table"/>
        <w:tblW w:type="pct" w:w="4806"/>
        <w:tblLayout w:type="fixed"/>
        <w:tblLook w:firstRow="1" w:lastRow="1" w:firstColumn="0" w:lastColumn="0" w:noHBand="0" w:noVBand="0" w:val="0020"/>
        <w:tblCaption w:val="Table 1. Descriptive Statistics: OECD Panel (25 Countries, 2010-2022)"/>
      </w:tblPr>
      <w:tblGrid>
        <w:gridCol w:w="4382"/>
        <w:gridCol w:w="692"/>
        <w:gridCol w:w="615"/>
        <w:gridCol w:w="615"/>
        <w:gridCol w:w="615"/>
        <w:gridCol w:w="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industry-weighted AI patents)</w:t>
            </w:r>
          </w:p>
        </w:tc>
        <w:tc>
          <w:tcPr/>
          <w:p>
            <w:pPr>
              <w:pStyle w:val="Compact"/>
            </w:pPr>
            <w:r>
              <w:t xml:space="preserve">975.00</w:t>
            </w:r>
          </w:p>
        </w:tc>
        <w:tc>
          <w:tcPr/>
          <w:p>
            <w:pPr>
              <w:pStyle w:val="Compact"/>
            </w:pPr>
            <w:r>
              <w:t xml:space="preserve">1.41</w:t>
            </w:r>
          </w:p>
        </w:tc>
        <w:tc>
          <w:tcPr/>
          <w:p>
            <w:pPr>
              <w:pStyle w:val="Compact"/>
            </w:pPr>
            <w:r>
              <w:t xml:space="preserve">1.83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7.97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High-renewable dummy (1 = above OECD median)</w:t>
            </w:r>
          </w:p>
        </w:tc>
        <w:tc>
          <w:tcPr/>
          <w:p>
            <w:pPr>
              <w:pStyle w:val="Compact"/>
            </w:pPr>
            <w:r>
              <w:t xml:space="preserve">975.00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975.00</w:t>
            </w:r>
          </w:p>
        </w:tc>
        <w:tc>
          <w:tcPr/>
          <w:p>
            <w:pPr>
              <w:pStyle w:val="Compact"/>
            </w:pPr>
            <w:r>
              <w:t xml:space="preserve">33.67</w:t>
            </w:r>
          </w:p>
        </w:tc>
        <w:tc>
          <w:tcPr/>
          <w:p>
            <w:pPr>
              <w:pStyle w:val="Compact"/>
            </w:pPr>
            <w:r>
              <w:t xml:space="preserve">7.30</w:t>
            </w:r>
          </w:p>
        </w:tc>
        <w:tc>
          <w:tcPr/>
          <w:p>
            <w:pPr>
              <w:pStyle w:val="Compact"/>
            </w:pPr>
            <w:r>
              <w:t xml:space="preserve">15.38</w:t>
            </w:r>
          </w:p>
        </w:tc>
        <w:tc>
          <w:tcPr/>
          <w:p>
            <w:pPr>
              <w:pStyle w:val="Compact"/>
            </w:pPr>
            <w:r>
              <w:t xml:space="preserve">48.25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936.00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4.47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 emission intensity (ln, tonnes CO2 / mn USD VA)</w:t>
            </w:r>
          </w:p>
        </w:tc>
        <w:tc>
          <w:tcPr/>
          <w:p>
            <w:pPr>
              <w:pStyle w:val="Compact"/>
            </w:pPr>
            <w:r>
              <w:t xml:space="preserve">975.00</w:t>
            </w:r>
          </w:p>
        </w:tc>
        <w:tc>
          <w:tcPr/>
          <w:p>
            <w:pPr>
              <w:pStyle w:val="Compact"/>
            </w:pPr>
            <w:r>
              <w:t xml:space="preserve">5.86</w:t>
            </w:r>
          </w:p>
        </w:tc>
        <w:tc>
          <w:tcPr/>
          <w:p>
            <w:pPr>
              <w:pStyle w:val="Compact"/>
            </w:pPr>
            <w:r>
              <w:t xml:space="preserve">2.22</w:t>
            </w:r>
          </w:p>
        </w:tc>
        <w:tc>
          <w:tcPr/>
          <w:p>
            <w:pPr>
              <w:pStyle w:val="Compact"/>
            </w:pPr>
            <w:r>
              <w:t xml:space="preserve">-1.64</w:t>
            </w:r>
          </w:p>
        </w:tc>
        <w:tc>
          <w:tcPr/>
          <w:p>
            <w:pPr>
              <w:pStyle w:val="Compact"/>
            </w:pPr>
            <w:r>
              <w:t xml:space="preserve">9.09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975.00</w:t>
            </w:r>
          </w:p>
        </w:tc>
        <w:tc>
          <w:tcPr/>
          <w:p>
            <w:pPr>
              <w:pStyle w:val="Compact"/>
            </w:pPr>
            <w:r>
              <w:t xml:space="preserve">10.49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9.29</w:t>
            </w:r>
          </w:p>
        </w:tc>
        <w:tc>
          <w:tcPr/>
          <w:p>
            <w:pPr>
              <w:pStyle w:val="Compact"/>
            </w:pPr>
            <w:r>
              <w:t xml:space="preserve">11.49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975.00</w:t>
            </w:r>
          </w:p>
        </w:tc>
        <w:tc>
          <w:tcPr/>
          <w:p>
            <w:pPr>
              <w:pStyle w:val="Compact"/>
            </w:pPr>
            <w:r>
              <w:t xml:space="preserve">2.20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4.85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975.00</w:t>
            </w:r>
          </w:p>
        </w:tc>
        <w:tc>
          <w:tcPr/>
          <w:p>
            <w:pPr>
              <w:pStyle w:val="Compact"/>
            </w:pPr>
            <w:r>
              <w:t xml:space="preserve">19.68</w:t>
            </w:r>
          </w:p>
        </w:tc>
        <w:tc>
          <w:tcPr/>
          <w:p>
            <w:pPr>
              <w:pStyle w:val="Compact"/>
            </w:pPr>
            <w:r>
              <w:t xml:space="preserve">14.20</w:t>
            </w:r>
          </w:p>
        </w:tc>
        <w:tc>
          <w:tcPr/>
          <w:p>
            <w:pPr>
              <w:pStyle w:val="Compact"/>
            </w:pPr>
            <w:r>
              <w:t xml:space="preserve">1.30</w:t>
            </w:r>
          </w:p>
        </w:tc>
        <w:tc>
          <w:tcPr/>
          <w:p>
            <w:pPr>
              <w:pStyle w:val="Compact"/>
            </w:pPr>
            <w:r>
              <w:t xml:space="preserve">61.40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975.00</w:t>
            </w:r>
          </w:p>
        </w:tc>
        <w:tc>
          <w:tcPr/>
          <w:p>
            <w:pPr>
              <w:pStyle w:val="Compact"/>
            </w:pPr>
            <w:r>
              <w:t xml:space="preserve">97.08</w:t>
            </w:r>
          </w:p>
        </w:tc>
        <w:tc>
          <w:tcPr/>
          <w:p>
            <w:pPr>
              <w:pStyle w:val="Compact"/>
            </w:pPr>
            <w:r>
              <w:t xml:space="preserve">49.13</w:t>
            </w:r>
          </w:p>
        </w:tc>
        <w:tc>
          <w:tcPr/>
          <w:p>
            <w:pPr>
              <w:pStyle w:val="Compact"/>
            </w:pPr>
            <w:r>
              <w:t xml:space="preserve">23.40</w:t>
            </w:r>
          </w:p>
        </w:tc>
        <w:tc>
          <w:tcPr/>
          <w:p>
            <w:pPr>
              <w:pStyle w:val="Compact"/>
            </w:pPr>
            <w:r>
              <w:t xml:space="preserve">258.78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Source: OECD STAN, EDGAR, WDI, OECD AI Patents (EPO). N = observations.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2026-07-22T06:00:23Z</dcterms:created>
  <dcterms:modified xsi:type="dcterms:W3CDTF">2026-07-22T06:00:23Z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