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3. Diagnostic Tests: OECD Panel (alpha = 0.10)</w:t>
      </w:r>
    </w:p>
    <w:tbl>
      <w:tblPr>
        <w:tblStyle w:val="Table"/>
        <w:tblW w:type="pct" w:w="4938"/>
        <w:tblLayout w:type="fixed"/>
        <w:tblLook w:firstRow="1" w:lastRow="1" w:firstColumn="0" w:lastColumn="0" w:noHBand="0" w:noVBand="0" w:val="0020"/>
        <w:tblCaption w:val="Table 3. Diagnostic Tests: OECD Panel (alpha = 0.10)"/>
      </w:tblPr>
      <w:tblGrid>
        <w:gridCol w:w="1820"/>
        <w:gridCol w:w="2312"/>
        <w:gridCol w:w="491"/>
        <w:gridCol w:w="31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Decision (alpha = 0.10)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0a. Observations / groups</w:t>
            </w:r>
          </w:p>
        </w:tc>
        <w:tc>
          <w:tcPr/>
          <w:p>
            <w:pPr>
              <w:pStyle w:val="Compact"/>
            </w:pPr>
            <w:r>
              <w:t xml:space="preserve">N = 936; N groups = 75 pairs</w:t>
            </w:r>
          </w:p>
        </w:tc>
        <w:tc>
          <w:tcPr/>
          <w:p/>
        </w:tc>
        <w:tc>
          <w:tcPr/>
          <w:p>
            <w:pPr>
              <w:pStyle w:val="Compact"/>
            </w:pPr>
            <w:r>
              <w:t xml:space="preserve">Balanced within FE-IV 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0b. Fixed effects</w:t>
            </w:r>
          </w:p>
        </w:tc>
        <w:tc>
          <w:tcPr/>
          <w:p>
            <w:pPr>
              <w:pStyle w:val="Compact"/>
            </w:pPr>
            <w:r>
              <w:t xml:space="preserve">Country-industry pair FE + year FE (two-way)</w:t>
            </w:r>
          </w:p>
        </w:tc>
        <w:tc>
          <w:tcPr/>
          <w:p/>
        </w:tc>
        <w:tc>
          <w:tcPr/>
          <w:p>
            <w:pPr>
              <w:pStyle w:val="Compact"/>
            </w:pPr>
            <w:r>
              <w:t xml:space="preserve">Absorbs time-invariant pair heterogeneity + common year shocks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0c. Standard-error treatment</w:t>
            </w:r>
          </w:p>
        </w:tc>
        <w:tc>
          <w:tcPr/>
          <w:p>
            <w:pPr>
              <w:pStyle w:val="Compact"/>
            </w:pPr>
            <w:r>
              <w:t xml:space="preserve">Clustered at pair level (75 clusters)</w:t>
            </w:r>
          </w:p>
        </w:tc>
        <w:tc>
          <w:tcPr/>
          <w:p/>
        </w:tc>
        <w:tc>
          <w:tcPr/>
          <w:p>
            <w:pPr>
              <w:pStyle w:val="Compact"/>
            </w:pPr>
            <w:r>
              <w:t xml:space="preserve">Robust to within-pair serial correlation (Test 3 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0d. Instruments (Diff. GMM)</w:t>
            </w:r>
          </w:p>
        </w:tc>
        <w:tc>
          <w:tcPr/>
          <w:p>
            <w:pPr>
              <w:pStyle w:val="Compact"/>
            </w:pPr>
            <w:r>
              <w:t xml:space="preserve">11 instruments / 75 pairs (ratio = 0.147)</w:t>
            </w:r>
          </w:p>
        </w:tc>
        <w:tc>
          <w:tcPr/>
          <w:p/>
        </w:tc>
        <w:tc>
          <w:tcPr/>
          <w:p>
            <w:pPr>
              <w:pStyle w:val="Compact"/>
            </w:pPr>
            <w:r>
              <w:t xml:space="preserve">Below Roodman (2009) N-instruments &lt; N-pairs rule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Multicollinearity (max VIF)</w:t>
            </w:r>
          </w:p>
        </w:tc>
        <w:tc>
          <w:tcPr/>
          <w:p>
            <w:pPr>
              <w:pStyle w:val="Compact"/>
            </w:pPr>
            <w:r>
              <w:t xml:space="preserve">Max VIF = 1.62</w:t>
            </w:r>
          </w:p>
        </w:tc>
        <w:tc>
          <w:tcPr/>
          <w:p/>
        </w:tc>
        <w:tc>
          <w:tcPr/>
          <w:p>
            <w:pPr>
              <w:pStyle w:val="Compact"/>
            </w:pPr>
            <w:r>
              <w:t xml:space="preserve">No severe multicollinearity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Hausman FE vs RE</w:t>
            </w:r>
          </w:p>
        </w:tc>
        <w:tc>
          <w:tcPr/>
          <w:p>
            <w:pPr>
              <w:pStyle w:val="Compact"/>
            </w:pPr>
            <w:r>
              <w:t xml:space="preserve">chi2 = 3.127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FE preferred (theory); Hausman used as robustness diagnostic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Serial correlation (Wooldridge)</w:t>
            </w:r>
          </w:p>
        </w:tc>
        <w:tc>
          <w:tcPr/>
          <w:p>
            <w:pPr>
              <w:pStyle w:val="Compact"/>
            </w:pPr>
            <w:r>
              <w:t xml:space="preserve">chi2 = 350.04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Serial corr. present; cluster SE applied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Weak instrument (first-stage F)</w:t>
            </w:r>
          </w:p>
        </w:tc>
        <w:tc>
          <w:tcPr/>
          <w:p>
            <w:pPr>
              <w:pStyle w:val="Compact"/>
            </w:pPr>
            <w:r>
              <w:t xml:space="preserve">F = 2321.77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Relevant instrument (F &gt; 10)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Endogeneity (Wu-Hausman)</w:t>
            </w:r>
          </w:p>
        </w:tc>
        <w:tc>
          <w:tcPr/>
          <w:p>
            <w:pPr>
              <w:pStyle w:val="Compact"/>
            </w:pPr>
            <w:r>
              <w:t xml:space="preserve">F = 21.4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Endogenous; IV justified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AR(1) - Arellano-Bond</w:t>
            </w:r>
          </w:p>
        </w:tc>
        <w:tc>
          <w:tcPr/>
          <w:p>
            <w:pPr>
              <w:pStyle w:val="Compact"/>
            </w:pPr>
            <w:r>
              <w:t xml:space="preserve">z = -0.671</w:t>
            </w:r>
          </w:p>
        </w:tc>
        <w:tc>
          <w:tcPr/>
          <w:p>
            <w:pPr>
              <w:pStyle w:val="Compact"/>
            </w:pPr>
            <w:r>
              <w:t xml:space="preserve">0.5025</w:t>
            </w:r>
          </w:p>
        </w:tc>
        <w:tc>
          <w:tcPr/>
          <w:p>
            <w:pPr>
              <w:pStyle w:val="Compact"/>
            </w:pPr>
            <w:r>
              <w:t xml:space="preserve">Fail to reject; inconclusive (low power, N=75 pairs)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AR(2) - Arellano-Bond</w:t>
            </w:r>
          </w:p>
        </w:tc>
        <w:tc>
          <w:tcPr/>
          <w:p>
            <w:pPr>
              <w:pStyle w:val="Compact"/>
            </w:pPr>
            <w:r>
              <w:t xml:space="preserve">z = -1.462</w:t>
            </w:r>
          </w:p>
        </w:tc>
        <w:tc>
          <w:tcPr/>
          <w:p>
            <w:pPr>
              <w:pStyle w:val="Compact"/>
            </w:pPr>
            <w:r>
              <w:t xml:space="preserve">0.1438</w:t>
            </w:r>
          </w:p>
        </w:tc>
        <w:tc>
          <w:tcPr/>
          <w:p>
            <w:pPr>
              <w:pStyle w:val="Compact"/>
            </w:pPr>
            <w:r>
              <w:t xml:space="preserve">Valid instruments (fail to reject H0)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Hansen J (overidentification)</w:t>
            </w:r>
          </w:p>
        </w:tc>
        <w:tc>
          <w:tcPr/>
          <w:p>
            <w:pPr>
              <w:pStyle w:val="Compact"/>
            </w:pPr>
            <w:r>
              <w:t xml:space="preserve">chi2 = 3.091</w:t>
            </w:r>
          </w:p>
        </w:tc>
        <w:tc>
          <w:tcPr/>
          <w:p>
            <w:pPr>
              <w:pStyle w:val="Compact"/>
            </w:pPr>
            <w:r>
              <w:t xml:space="preserve">0.3779</w:t>
            </w:r>
          </w:p>
        </w:tc>
        <w:tc>
          <w:tcPr/>
          <w:p>
            <w:pPr>
              <w:pStyle w:val="Compact"/>
            </w:pPr>
            <w:r>
              <w:t xml:space="preserve">Instruments may be exogenous (fail to reject H0)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Tests 1-5: pooled OLS / FE-plm / AER::ivreg. Tests 6-8 (Hansen J = Test 8): two-step System GMM (Arellano-Bond mtest). AR(1) non-rejection inconclusive:</w:t>
            </w:r>
            <w:r>
              <w:t xml:space="preserve"> </w:t>
            </w:r>
            <w:r>
              <w:t xml:space="preserve">expected to reject by construction; likely low power given N=75 pairs. AR(2) non-rejection confirms instrument validity. Hansen J non-rejection:</w:t>
            </w:r>
            <w:r>
              <w:t xml:space="preserve"> </w:t>
            </w:r>
            <w:r>
              <w:t xml:space="preserve">instruments may not violate exogeneity condition.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2026-07-22T06:00:24Z</dcterms:created>
  <dcterms:modified xsi:type="dcterms:W3CDTF">2026-07-22T06:00:24Z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