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4. Main Results: AI Patent Intensity and Carbon Emission Intensity (OECD Panel)</w:t>
      </w:r>
    </w:p>
    <w:tbl>
      <w:tblPr>
        <w:tblStyle w:val="Table"/>
        <w:tblW w:type="pct" w:w="4868"/>
        <w:tblLayout w:type="fixed"/>
        <w:tblLook w:firstRow="1" w:lastRow="1" w:firstColumn="0" w:lastColumn="0" w:noHBand="0" w:noVBand="0" w:val="0020"/>
        <w:tblCaption w:val="Table 4. Main Results: AI Patent Intensity and Carbon Emission Intensity (OECD Panel)"/>
      </w:tblPr>
      <w:tblGrid>
        <w:gridCol w:w="3751"/>
        <w:gridCol w:w="764"/>
        <w:gridCol w:w="1320"/>
        <w:gridCol w:w="833"/>
        <w:gridCol w:w="104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FE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FE+Interact.</w:t>
            </w:r>
          </w:p>
        </w:tc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FE-IV</w:t>
            </w:r>
          </w:p>
        </w:tc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Sys. GMM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(ln)</w:t>
            </w:r>
          </w:p>
        </w:tc>
        <w:tc>
          <w:tcPr/>
          <w:p>
            <w:pPr>
              <w:pStyle w:val="Compact"/>
            </w:pPr>
            <w:r>
              <w:t xml:space="preserve">-0.050**</w:t>
            </w:r>
          </w:p>
        </w:tc>
        <w:tc>
          <w:tcPr/>
          <w:p>
            <w:pPr>
              <w:pStyle w:val="Compact"/>
            </w:pPr>
            <w:r>
              <w:t xml:space="preserve">-0.063**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(0.023)</w:t>
            </w:r>
          </w:p>
        </w:tc>
        <w:tc>
          <w:tcPr/>
          <w:p>
            <w:pPr>
              <w:pStyle w:val="Compact"/>
            </w:pPr>
            <w:r>
              <w:t xml:space="preserve">(0.027)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-0.096***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x High-renewable dummy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Lagged CO2 intensity (t-1)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0.271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-0.256</w:t>
            </w:r>
          </w:p>
        </w:tc>
        <w:tc>
          <w:tcPr/>
          <w:p>
            <w:pPr>
              <w:pStyle w:val="Compact"/>
            </w:pPr>
            <w:r>
              <w:t xml:space="preserve">-0.235</w:t>
            </w:r>
          </w:p>
        </w:tc>
        <w:tc>
          <w:tcPr/>
          <w:p>
            <w:pPr>
              <w:pStyle w:val="Compact"/>
            </w:pPr>
            <w:r>
              <w:t xml:space="preserve">-0.259</w:t>
            </w:r>
          </w:p>
        </w:tc>
        <w:tc>
          <w:tcPr/>
          <w:p>
            <w:pPr>
              <w:pStyle w:val="Compact"/>
            </w:pPr>
            <w:r>
              <w:t xml:space="preserve">-0.089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(0.288)</w:t>
            </w:r>
          </w:p>
        </w:tc>
        <w:tc>
          <w:tcPr/>
          <w:p>
            <w:pPr>
              <w:pStyle w:val="Compact"/>
            </w:pPr>
            <w:r>
              <w:t xml:space="preserve">(0.281)</w:t>
            </w:r>
          </w:p>
        </w:tc>
        <w:tc>
          <w:tcPr/>
          <w:p>
            <w:pPr>
              <w:pStyle w:val="Compact"/>
            </w:pPr>
            <w:r>
              <w:t xml:space="preserve">(0.275)</w:t>
            </w:r>
          </w:p>
        </w:tc>
        <w:tc>
          <w:tcPr/>
          <w:p>
            <w:pPr>
              <w:pStyle w:val="Compact"/>
            </w:pPr>
            <w:r>
              <w:t xml:space="preserve">(0.300)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-0.020**</w:t>
            </w:r>
          </w:p>
        </w:tc>
        <w:tc>
          <w:tcPr/>
          <w:p>
            <w:pPr>
              <w:pStyle w:val="Compact"/>
            </w:pPr>
            <w:r>
              <w:t xml:space="preserve">-0.020**</w:t>
            </w:r>
          </w:p>
        </w:tc>
        <w:tc>
          <w:tcPr/>
          <w:p>
            <w:pPr>
              <w:pStyle w:val="Compact"/>
            </w:pPr>
            <w:r>
              <w:t xml:space="preserve">-0.020**</w:t>
            </w:r>
          </w:p>
        </w:tc>
        <w:tc>
          <w:tcPr/>
          <w:p>
            <w:pPr>
              <w:pStyle w:val="Compact"/>
            </w:pPr>
            <w:r>
              <w:t xml:space="preserve">-0.016***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0.375**</w:t>
            </w:r>
          </w:p>
        </w:tc>
        <w:tc>
          <w:tcPr/>
          <w:p>
            <w:pPr>
              <w:pStyle w:val="Compact"/>
            </w:pPr>
            <w:r>
              <w:t xml:space="preserve">0.379**</w:t>
            </w:r>
          </w:p>
        </w:tc>
        <w:tc>
          <w:tcPr/>
          <w:p>
            <w:pPr>
              <w:pStyle w:val="Compact"/>
            </w:pPr>
            <w:r>
              <w:t xml:space="preserve">0.403**</w:t>
            </w:r>
          </w:p>
        </w:tc>
        <w:tc>
          <w:tcPr/>
          <w:p>
            <w:pPr>
              <w:pStyle w:val="Compact"/>
            </w:pPr>
            <w:r>
              <w:t xml:space="preserve">0.441***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(0.182)</w:t>
            </w:r>
          </w:p>
        </w:tc>
        <w:tc>
          <w:tcPr/>
          <w:p>
            <w:pPr>
              <w:pStyle w:val="Compact"/>
            </w:pPr>
            <w:r>
              <w:t xml:space="preserve">(0.181)</w:t>
            </w:r>
          </w:p>
        </w:tc>
        <w:tc>
          <w:tcPr/>
          <w:p>
            <w:pPr>
              <w:pStyle w:val="Compact"/>
            </w:pPr>
            <w:r>
              <w:t xml:space="preserve">(0.179)</w:t>
            </w:r>
          </w:p>
        </w:tc>
        <w:tc>
          <w:tcPr/>
          <w:p>
            <w:pPr>
              <w:pStyle w:val="Compact"/>
            </w:pPr>
            <w:r>
              <w:t xml:space="preserve">(0.145)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0.082**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(0.055)</w:t>
            </w:r>
          </w:p>
        </w:tc>
        <w:tc>
          <w:tcPr/>
          <w:p>
            <w:pPr>
              <w:pStyle w:val="Compact"/>
            </w:pPr>
            <w:r>
              <w:t xml:space="preserve">(0.055)</w:t>
            </w:r>
          </w:p>
        </w:tc>
        <w:tc>
          <w:tcPr/>
          <w:p>
            <w:pPr>
              <w:pStyle w:val="Compact"/>
            </w:pPr>
            <w:r>
              <w:t xml:space="preserve">(0.055)</w:t>
            </w:r>
          </w:p>
        </w:tc>
        <w:tc>
          <w:tcPr/>
          <w:p>
            <w:pPr>
              <w:pStyle w:val="Compact"/>
            </w:pPr>
            <w:r>
              <w:t xml:space="preserve">(0.039)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of GDP)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936</w:t>
            </w:r>
          </w:p>
        </w:tc>
        <w:tc>
          <w:tcPr/>
          <w:p>
            <w:pPr>
              <w:pStyle w:val="Compact"/>
            </w:pPr>
            <w:r>
              <w:t xml:space="preserve">936</w:t>
            </w:r>
          </w:p>
        </w:tc>
        <w:tc>
          <w:tcPr/>
          <w:p>
            <w:pPr>
              <w:pStyle w:val="Compact"/>
            </w:pPr>
            <w:r>
              <w:t xml:space="preserve">936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0.153</w:t>
            </w:r>
          </w:p>
        </w:tc>
        <w:tc>
          <w:tcPr/>
          <w:p>
            <w:pPr>
              <w:pStyle w:val="Compac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0.143</w:t>
            </w:r>
          </w:p>
        </w:tc>
        <w:tc>
          <w:tcPr/>
          <w:p>
            <w:pPr>
              <w:pStyle w:val="Compact"/>
            </w:pPr>
            <w:r>
              <w:t xml:space="preserve">0.145</w:t>
            </w:r>
          </w:p>
        </w:tc>
        <w:tc>
          <w:tcPr/>
          <w:p>
            <w:pPr>
              <w:pStyle w:val="Compact"/>
            </w:pPr>
            <w:r>
              <w:t xml:space="preserve">0.161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Dependent variable: ln(CO2 emission intensity) = ln(CO2 kt x 1000 / VA million USD).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Cols (1)-(3): Two-way FE (country-industry pair + year FE). Col (4): Two-step System GMM.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AIPI = ln(industry-weighted AI patent count + 1); weights from ALP CPC-to-ISIC crosswalk.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FE-IV: instrument = AIPI_bartik (leave-one-out mean AI patents, other 24 OECD countries, same year).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Base category: HighRenewable = 0 (below OECD panel median).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SE clustered at country-industry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2026-07-22T06:01:38Z</dcterms:created>
  <dcterms:modified xsi:type="dcterms:W3CDTF">2026-07-22T06:01:38Z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