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5. Robustness Checks: OECD Panel</w:t>
      </w:r>
    </w:p>
    <w:tbl>
      <w:tblPr>
        <w:tblStyle w:val="Table"/>
        <w:tblW w:type="pct" w:w="4868"/>
        <w:tblLayout w:type="fixed"/>
        <w:tblLook w:firstRow="1" w:lastRow="1" w:firstColumn="0" w:lastColumn="0" w:noHBand="0" w:noVBand="0" w:val="0020"/>
        <w:tblCaption w:val="Table 5. Robustness Checks: OECD Panel"/>
      </w:tblPr>
      <w:tblGrid>
        <w:gridCol w:w="2813"/>
        <w:gridCol w:w="990"/>
        <w:gridCol w:w="937"/>
        <w:gridCol w:w="1146"/>
        <w:gridCol w:w="781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(R1a) High-renew</w:t>
            </w:r>
          </w:p>
        </w:tc>
        <w:tc>
          <w:tcPr/>
          <w:p>
            <w:pPr>
              <w:pStyle w:val="Compact"/>
            </w:pPr>
            <w:r>
              <w:t xml:space="preserve">(R1b) Low-renew</w:t>
            </w:r>
          </w:p>
        </w:tc>
        <w:tc>
          <w:tcPr/>
          <w:p>
            <w:pPr>
              <w:pStyle w:val="Compact"/>
            </w:pPr>
            <w:r>
              <w:t xml:space="preserve">(R2) Alt. weighting</w:t>
            </w:r>
          </w:p>
        </w:tc>
        <w:tc>
          <w:tcPr/>
          <w:p>
            <w:pPr>
              <w:pStyle w:val="Compact"/>
            </w:pPr>
            <w:r>
              <w:t xml:space="preserve">(R4) Placebo</w:t>
            </w:r>
          </w:p>
        </w:tc>
        <w:tc>
          <w:tcPr/>
          <w:p>
            <w:pPr>
              <w:pStyle w:val="Compact"/>
            </w:pPr>
            <w:r>
              <w:t xml:space="preserve">(R5) C+D_E+H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-0.114**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-0.406</w:t>
            </w:r>
          </w:p>
        </w:tc>
        <w:tc>
          <w:tcPr/>
          <w:p>
            <w:pPr>
              <w:pStyle w:val="Compact"/>
            </w:pPr>
            <w:r>
              <w:t xml:space="preserve">-0.407</w:t>
            </w:r>
          </w:p>
        </w:tc>
        <w:tc>
          <w:tcPr/>
          <w:p>
            <w:pPr>
              <w:pStyle w:val="Compact"/>
            </w:pPr>
            <w:r>
              <w:t xml:space="preserve">-0.261</w:t>
            </w:r>
          </w:p>
        </w:tc>
        <w:tc>
          <w:tcPr/>
          <w:p>
            <w:pPr>
              <w:pStyle w:val="Compact"/>
            </w:pPr>
            <w:r>
              <w:t xml:space="preserve">-0.243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(0.399)</w:t>
            </w:r>
          </w:p>
        </w:tc>
        <w:tc>
          <w:tcPr/>
          <w:p>
            <w:pPr>
              <w:pStyle w:val="Compact"/>
            </w:pPr>
            <w:r>
              <w:t xml:space="preserve">(0.376)</w:t>
            </w:r>
          </w:p>
        </w:tc>
        <w:tc>
          <w:tcPr/>
          <w:p>
            <w:pPr>
              <w:pStyle w:val="Compact"/>
            </w:pPr>
            <w:r>
              <w:t xml:space="preserve">(0.305)</w:t>
            </w:r>
          </w:p>
        </w:tc>
        <w:tc>
          <w:tcPr/>
          <w:p>
            <w:pPr>
              <w:pStyle w:val="Compact"/>
            </w:pPr>
            <w:r>
              <w:t xml:space="preserve">(0.340)</w:t>
            </w:r>
          </w:p>
        </w:tc>
        <w:tc>
          <w:tcPr/>
          <w:p>
            <w:pPr>
              <w:pStyle w:val="Compact"/>
            </w:pPr>
            <w:r>
              <w:t xml:space="preserve">(0.275)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-0.017*</w:t>
            </w:r>
          </w:p>
        </w:tc>
        <w:tc>
          <w:tcPr/>
          <w:p>
            <w:pPr>
              <w:pStyle w:val="Compact"/>
            </w:pPr>
            <w:r>
              <w:t xml:space="preserve">-0.038**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-0.020***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0.419*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  <w:tc>
          <w:tcPr/>
          <w:p>
            <w:pPr>
              <w:pStyle w:val="Compact"/>
            </w:pPr>
            <w:r>
              <w:t xml:space="preserve">0.373**</w:t>
            </w:r>
          </w:p>
        </w:tc>
        <w:tc>
          <w:tcPr/>
          <w:p>
            <w:pPr>
              <w:pStyle w:val="Compact"/>
            </w:pPr>
            <w:r>
              <w:t xml:space="preserve">0.319*</w:t>
            </w:r>
          </w:p>
        </w:tc>
        <w:tc>
          <w:tcPr/>
          <w:p>
            <w:pPr>
              <w:pStyle w:val="Compact"/>
            </w:pPr>
            <w:r>
              <w:t xml:space="preserve">0.403**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(0.240)</w:t>
            </w:r>
          </w:p>
        </w:tc>
        <w:tc>
          <w:tcPr/>
          <w:p>
            <w:pPr>
              <w:pStyle w:val="Compact"/>
            </w:pPr>
            <w:r>
              <w:t xml:space="preserve">(0.308)</w:t>
            </w:r>
          </w:p>
        </w:tc>
        <w:tc>
          <w:tcPr/>
          <w:p>
            <w:pPr>
              <w:pStyle w:val="Compact"/>
            </w:pPr>
            <w:r>
              <w:t xml:space="preserve">(0.182)</w:t>
            </w: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IV, equal weights)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-0.075*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IV, placebo weights)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0.121***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R1: FE-IV on high-renewable (HighRenewable=1) vs low-renewable (HighRenewable=0) subsamples.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R2: Alternative industry weighting (equal 1/3 per industry instead of ALP crosswalk weights).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R3: SGMM alt lags (3:5): reported in text only (pgmm not compatible with modelsummary mix).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R4: Placebo - industry weights shuffled across C/D_E/H; expect beta ~0.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R5: C+D_E+H only = main sample (G/J/K/M_N excluded at STEP 5, EDGAR limitation); confirms zero-CO2 assumption.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2026-07-22T06:01:39Z</dcterms:created>
  <dcterms:modified xsi:type="dcterms:W3CDTF">2026-07-22T06:01:39Z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