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6. First-Stage Regression: FE-IV Instrument Validity (OECD Panel)</w:t>
      </w:r>
    </w:p>
    <w:tbl>
      <w:tblPr>
        <w:tblStyle w:val="Table"/>
        <w:tblW w:type="pct" w:w="4861"/>
        <w:tblLayout w:type="fixed"/>
        <w:tblLook w:firstRow="1" w:lastRow="1" w:firstColumn="0" w:lastColumn="0" w:noHBand="0" w:noVBand="0" w:val="0020"/>
        <w:tblCaption w:val="Table 6. First-Stage Regression: FE-IV Instrument Validity (OECD Panel)"/>
      </w:tblPr>
      <w:tblGrid>
        <w:gridCol w:w="39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Stage: AIPI ~ AIPI_bartik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AIPI_bartik [instrument]</w:t>
            </w:r>
          </w:p>
        </w:tc>
        <w:tc>
          <w:tcPr/>
          <w:p>
            <w:pPr>
              <w:pStyle w:val="Compact"/>
            </w:pPr>
            <w:r>
              <w:t xml:space="preserve">0.867***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</w:t>
            </w:r>
          </w:p>
        </w:tc>
        <w:tc>
          <w:tcPr/>
          <w:p>
            <w:pPr>
              <w:pStyle w:val="Compact"/>
            </w:pPr>
            <w:r>
              <w:t xml:space="preserve">0.439***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0.149*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subscriptions (per 100)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Dependent variable: AIPI = ln(industry-weighted AI patent count +</w:t>
            </w:r>
            <w:r>
              <w:t xml:space="preserve"> </w:t>
            </w:r>
            <w:r>
              <w:t xml:space="preserve">1).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Instrument: AIPI_bartik = ln(leave-one-out industry-weighted AI</w:t>
            </w:r>
            <w:r>
              <w:t xml:space="preserve"> </w:t>
            </w:r>
            <w:r>
              <w:t xml:space="preserve">patent count + 1),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computed from the other 24 OECD countries in the same year (Bartik</w:t>
            </w:r>
            <w:r>
              <w:t xml:space="preserve"> </w:t>
            </w:r>
            <w:r>
              <w:t xml:space="preserve">shift-share).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Two-way FE (pair_id + year). SE clustered at pair level.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2026-07-22T06:01:39Z</dcterms:created>
  <dcterms:modified xsi:type="dcterms:W3CDTF">2026-07-22T06:01:39Z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