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7. Descriptive Statistics: EM Panel (year &gt;= 2012, ISIC C and D_E)</w:t>
      </w:r>
    </w:p>
    <w:tbl>
      <w:tblPr>
        <w:tblStyle w:val="Table"/>
        <w:tblW w:type="pct" w:w="4811"/>
        <w:tblLayout w:type="fixed"/>
        <w:tblLook w:firstRow="1" w:lastRow="1" w:firstColumn="0" w:lastColumn="0" w:noHBand="0" w:noVBand="0" w:val="0020"/>
        <w:tblCaption w:val="Table 7. Descriptive Statistics: EM Panel (year &gt;= 2012, ISIC C and D_E)"/>
      </w:tblPr>
      <w:tblGrid>
        <w:gridCol w:w="4483"/>
        <w:gridCol w:w="672"/>
        <w:gridCol w:w="597"/>
        <w:gridCol w:w="597"/>
        <w:gridCol w:w="597"/>
        <w:gridCol w:w="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EM (ln, industry-weighted AI patents)</w:t>
            </w:r>
          </w:p>
        </w:tc>
        <w:tc>
          <w:tcPr/>
          <w:p>
            <w:pPr>
              <w:pStyle w:val="Compact"/>
            </w:pPr>
            <w:r>
              <w:t xml:space="preserve">650.00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High-renewable dummy EM (above EM-sample median)</w:t>
            </w:r>
          </w:p>
        </w:tc>
        <w:tc>
          <w:tcPr/>
          <w:p>
            <w:pPr>
              <w:pStyle w:val="Compact"/>
            </w:pPr>
            <w:r>
              <w:t xml:space="preserve">650.00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 emission intensity EM (ln, tonnes / mn USD VA)</w:t>
            </w:r>
          </w:p>
        </w:tc>
        <w:tc>
          <w:tcPr/>
          <w:p>
            <w:pPr>
              <w:pStyle w:val="Compact"/>
            </w:pPr>
            <w:r>
              <w:t xml:space="preserve">650.00</w:t>
            </w:r>
          </w:p>
        </w:tc>
        <w:tc>
          <w:tcPr/>
          <w:p>
            <w:pPr>
              <w:pStyle w:val="Compact"/>
            </w:pPr>
            <w:r>
              <w:t xml:space="preserve">-5.94</w:t>
            </w:r>
          </w:p>
        </w:tc>
        <w:tc>
          <w:tcPr/>
          <w:p>
            <w:pPr>
              <w:pStyle w:val="Compact"/>
            </w:pPr>
            <w:r>
              <w:t xml:space="preserve">1.73</w:t>
            </w:r>
          </w:p>
        </w:tc>
        <w:tc>
          <w:tcPr/>
          <w:p>
            <w:pPr>
              <w:pStyle w:val="Compact"/>
            </w:pPr>
            <w:r>
              <w:t xml:space="preserve">-9.70</w:t>
            </w:r>
          </w:p>
        </w:tc>
        <w:tc>
          <w:tcPr/>
          <w:p>
            <w:pPr>
              <w:pStyle w:val="Compact"/>
            </w:pPr>
            <w:r>
              <w:t xml:space="preserve">8.23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650.00</w:t>
            </w:r>
          </w:p>
        </w:tc>
        <w:tc>
          <w:tcPr/>
          <w:p>
            <w:pPr>
              <w:pStyle w:val="Compact"/>
            </w:pPr>
            <w:r>
              <w:t xml:space="preserve">8.72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10.72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599.00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650.00</w:t>
            </w:r>
          </w:p>
        </w:tc>
        <w:tc>
          <w:tcPr/>
          <w:p>
            <w:pPr>
              <w:pStyle w:val="Compact"/>
            </w:pPr>
            <w:r>
              <w:t xml:space="preserve">20.00</w:t>
            </w:r>
          </w:p>
        </w:tc>
        <w:tc>
          <w:tcPr/>
          <w:p>
            <w:pPr>
              <w:pStyle w:val="Compact"/>
            </w:pPr>
            <w:r>
              <w:t xml:space="preserve">17.30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82.00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646.00</w:t>
            </w:r>
          </w:p>
        </w:tc>
        <w:tc>
          <w:tcPr/>
          <w:p>
            <w:pPr>
              <w:pStyle w:val="Compact"/>
            </w:pPr>
            <w:r>
              <w:t xml:space="preserve">85.58</w:t>
            </w:r>
          </w:p>
        </w:tc>
        <w:tc>
          <w:tcPr/>
          <w:p>
            <w:pPr>
              <w:pStyle w:val="Compact"/>
            </w:pPr>
            <w:r>
              <w:t xml:space="preserve">48.59</w:t>
            </w:r>
          </w:p>
        </w:tc>
        <w:tc>
          <w:tcPr/>
          <w:p>
            <w:pPr>
              <w:pStyle w:val="Compact"/>
            </w:pPr>
            <w:r>
              <w:t xml:space="preserve">24.32</w:t>
            </w:r>
          </w:p>
        </w:tc>
        <w:tc>
          <w:tcPr/>
          <w:p>
            <w:pPr>
              <w:pStyle w:val="Compact"/>
            </w:pPr>
            <w:r>
              <w:t xml:space="preserve">320.94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quality (WGI composite, 6-dim. average)</w:t>
            </w:r>
          </w:p>
        </w:tc>
        <w:tc>
          <w:tcPr/>
          <w:p>
            <w:pPr>
              <w:pStyle w:val="Compact"/>
            </w:pPr>
            <w:r>
              <w:t xml:space="preserve">650.00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-1.41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UNIDO INDSTAT4, EDGAR, WDI, WGI, OECD AI Patents (EPO). EM sample: 43 countries (74 pairs)</w:t>
            </w:r>
            <w:r>
              <w:t xml:space="preserve"> </w:t>
            </w:r>
            <w:r>
              <w:t xml:space="preserve">with non-missing AIPI_EM, ISIC C and D_E only. UNIDO INDSTAT4 itself has 65 EM countries; the rest</w:t>
            </w:r>
            <w:r>
              <w:t xml:space="preserve"> </w:t>
            </w:r>
            <w:r>
              <w:t xml:space="preserve">lack AI patent data in the source file and are dropped at STEP 18 (drop_na(AIPI_EM)). AIPI_EM:</w:t>
            </w:r>
            <w:r>
              <w:t xml:space="preserve"> </w:t>
            </w:r>
            <w:r>
              <w:t xml:space="preserve">same AI Patents source and methodology as OECD AIPI (STEP 2b), restricted to C/D_E industry</w:t>
            </w:r>
            <w:r>
              <w:t xml:space="preserve"> </w:t>
            </w:r>
            <w:r>
              <w:t xml:space="preserve">weights (no Transport/H in UNIDO INDSTAT4). HighRenewable_EM threshold: EM-sample median (main</w:t>
            </w:r>
            <w:r>
              <w:t xml:space="preserve"> </w:t>
            </w:r>
            <w:r>
              <w:t xml:space="preserve">spec).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2026-07-22T06:01:39Z</dcterms:created>
  <dcterms:modified xsi:type="dcterms:W3CDTF">2026-07-22T06:01:39Z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