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9. ASEAN Spotlight: Does the AI-CO2 Relationship Differ in South-East Asia?</w:t>
      </w:r>
    </w:p>
    <w:tbl>
      <w:tblPr>
        <w:tblStyle w:val="Table"/>
        <w:tblW w:type="pct" w:w="4947"/>
        <w:tblLayout w:type="fixed"/>
        <w:tblLook w:firstRow="1" w:lastRow="1" w:firstColumn="0" w:lastColumn="0" w:noHBand="0" w:noVBand="0" w:val="0020"/>
        <w:tblCaption w:val="Table 9. ASEAN Spotlight: Does the AI-CO2 Relationship Differ in South-East Asia?"/>
      </w:tblPr>
      <w:tblGrid>
        <w:gridCol w:w="3001"/>
        <w:gridCol w:w="2167"/>
        <w:gridCol w:w="26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EM (baseline)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 EM + ASEAN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x ASEAN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-0.567</w:t>
            </w:r>
          </w:p>
        </w:tc>
        <w:tc>
          <w:tcPr/>
          <w:p>
            <w:pPr>
              <w:pStyle w:val="Compact"/>
            </w:pPr>
            <w:r>
              <w:t xml:space="preserve">-0.770*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(0.671)</w:t>
            </w:r>
          </w:p>
        </w:tc>
        <w:tc>
          <w:tcPr/>
          <w:p>
            <w:pPr>
              <w:pStyle w:val="Compact"/>
            </w:pPr>
            <w:r>
              <w:t xml:space="preserve">(0.399)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-0.023*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(0.558)</w:t>
            </w:r>
          </w:p>
        </w:tc>
        <w:tc>
          <w:tcPr/>
          <w:p>
            <w:pPr>
              <w:pStyle w:val="Compact"/>
            </w:pPr>
            <w:r>
              <w:t xml:space="preserve">(0.333)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(0.433)</w:t>
            </w: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Column (2): two-way FE with ASEAN interaction (the single Bartik IV cannot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instrument both AIPI_EM and its interaction).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ASEAN countries in the EPO-based EM sample: IDN, MYS, PHL, THA. VNM/MMR enter the</w:t>
            </w:r>
            <w:r>
              <w:t xml:space="preserve"> </w:t>
            </w:r>
            <w:r>
              <w:t xml:space="preserve">WIPO-based sample (Table 10).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2026-07-14T10:01:20Z</dcterms:created>
  <dcterms:modified xsi:type="dcterms:W3CDTF">2026-07-14T10:01:20Z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