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9. ASEAN Spotlight: Does the AI-CO2 Relationship Differ in South-East Asia?</w:t>
      </w:r>
    </w:p>
    <w:tbl>
      <w:tblPr>
        <w:tblStyle w:val="Table"/>
        <w:tblW w:type="pct" w:w="4947"/>
        <w:tblLayout w:type="fixed"/>
        <w:tblLook w:firstRow="1" w:lastRow="1" w:firstColumn="0" w:lastColumn="0" w:noHBand="0" w:noVBand="0" w:val="0020"/>
        <w:tblCaption w:val="Table 9. ASEAN Spotlight: Does the AI-CO2 Relationship Differ in South-East Asia?"/>
      </w:tblPr>
      <w:tblGrid>
        <w:gridCol w:w="3001"/>
        <w:gridCol w:w="2167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EM (baseline)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 EM + ASEAN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-0.770*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(0.399)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-0.023*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Column (2): two-way FE with ASEAN interaction (the single Bartik IV cannot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instrument both AIPI_EM and its interaction).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ASEAN countries in the EPO-based EM sample: IDN, MYS, PHL, THA. VNM/MMR enter the</w:t>
            </w:r>
            <w:r>
              <w:t xml:space="preserve"> </w:t>
            </w:r>
            <w:r>
              <w:t xml:space="preserve">WIPO-based sample (Table 10).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2026-07-22T06:01:51Z</dcterms:created>
  <dcterms:modified xsi:type="dcterms:W3CDTF">2026-07-22T06:01:51Z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