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10. First-Stage Regression: GTI_bartik as Instrument for ln(GTI+1) (OECD Panel)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  <w:tblCaption w:val="Table 10. First-Stage Regression: GTI_bartik as Instrument for ln(GTI+1) (OECD Panel)"/>
      </w:tblPr>
      <w:tblGrid>
        <w:gridCol w:w="5074"/>
        <w:gridCol w:w="28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Stage (GTI_bartik -&gt; ln_GTI)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Instrument: Bartik = ln(base_GTI+1) x ln(global_excl_patents+1)</w:t>
            </w:r>
          </w:p>
        </w:tc>
        <w:tc>
          <w:tcPr/>
          <w:p>
            <w:pPr>
              <w:pStyle w:val="Compact"/>
            </w:pPr>
            <w:r>
              <w:t xml:space="preserve">0.1111***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0.3493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-0.2714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(0.4781)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(per 100)</w:t>
            </w:r>
          </w:p>
        </w:tc>
        <w:tc>
          <w:tcPr/>
          <w:p>
            <w:pPr>
              <w:pStyle w:val="Compact"/>
            </w:pPr>
            <w:r>
              <w:t xml:space="preserve">0.0118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enrollment (%)</w:t>
            </w:r>
          </w:p>
        </w:tc>
        <w:tc>
          <w:tcPr/>
          <w:p>
            <w:pPr>
              <w:pStyle w:val="Compact"/>
            </w:pPr>
            <w:r>
              <w:t xml:space="preserve">0.0050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GDP)</w:t>
            </w:r>
          </w:p>
        </w:tc>
        <w:tc>
          <w:tcPr/>
          <w:p>
            <w:pPr>
              <w:pStyle w:val="Compact"/>
            </w:pPr>
            <w:r>
              <w:t xml:space="preserve">-0.0654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Dependent variable: ln(GTI+1). GTI_bartik = ln(base_GTI_ic+1) x ln(global_excl_patents_it+1).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Two-way FE (pair + year). SE clustered at pair level.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p&lt;0.10, ** p&lt;0.05, *** p&lt;0.01.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2026-07-22T06:12:39Z</dcterms:created>
  <dcterms:modified xsi:type="dcterms:W3CDTF">2026-07-22T06:12:39Z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