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12. Moderator (HighAI) Threshold Sensitivity: OECD Panel</w:t>
      </w:r>
    </w:p>
    <w:tbl>
      <w:tblPr>
        <w:tblStyle w:val="Table"/>
        <w:tblW w:type="pct" w:w="4978"/>
        <w:tblLayout w:type="fixed"/>
        <w:tblLook w:firstRow="1" w:lastRow="0" w:firstColumn="0" w:lastColumn="0" w:noHBand="0" w:noVBand="0" w:val="0020"/>
        <w:tblCaption w:val="Table 12. Moderator (HighAI) Threshold Sensitivity: OECD Panel"/>
      </w:tblPr>
      <w:tblGrid>
        <w:gridCol w:w="1817"/>
        <w:gridCol w:w="2605"/>
        <w:gridCol w:w="34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Primary split (median AIIE)</w:t>
            </w:r>
          </w:p>
        </w:tc>
        <w:tc>
          <w:tcPr/>
          <w:p>
            <w:pPr>
              <w:pStyle w:val="Compact"/>
            </w:pPr>
            <w:r>
              <w:t xml:space="preserve">High-AI beta1 = 0.0161; Low-AI beta1 = 0.0205</w:t>
            </w:r>
          </w:p>
        </w:tc>
        <w:tc>
          <w:tcPr/>
          <w:p>
            <w:pPr>
              <w:pStyle w:val="Compact"/>
            </w:pPr>
            <w:r>
              <w:t xml:space="preserve">HighAI = 1 if AIIE &gt;= OECD-industry median (7 industries).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Alternative split (top-tercile AIIE)</w:t>
            </w:r>
          </w:p>
        </w:tc>
        <w:tc>
          <w:tcPr/>
          <w:p>
            <w:pPr>
              <w:pStyle w:val="Compact"/>
            </w:pPr>
            <w:r>
              <w:t xml:space="preserve">High-AI beta1 = 0.014; Low-AI beta1 = 0.0266</w:t>
            </w:r>
          </w:p>
        </w:tc>
        <w:tc>
          <w:tcPr/>
          <w:p>
            <w:pPr>
              <w:pStyle w:val="Compact"/>
            </w:pPr>
            <w:r>
              <w:t xml:space="preserve">HighAI_tercile = 1 if AIIE &gt;= top-tercile cutoff (quantile 2/3).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Sign agreement, tercile vs median</w:t>
            </w:r>
          </w:p>
        </w:tc>
        <w:tc>
          <w:tcPr/>
          <w:p>
            <w:pPr>
              <w:pStyle w:val="Compact"/>
            </w:pPr>
            <w:r>
              <w:t xml:space="preserve">YES (both same sign as primary median split)</w:t>
            </w:r>
          </w:p>
        </w:tc>
        <w:tc>
          <w:tcPr/>
          <w:p>
            <w:pPr>
              <w:pStyle w:val="Compact"/>
            </w:pPr>
            <w:r>
              <w:t xml:space="preserve">Tests whether the R2 subsample conclusion is an artifact of the median cutoff choice.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Leave-one-industry-out classification stability</w:t>
            </w:r>
          </w:p>
        </w:tc>
        <w:tc>
          <w:tcPr/>
          <w:p>
            <w:pPr>
              <w:pStyle w:val="Compact"/>
            </w:pPr>
            <w:r>
              <w:t xml:space="preserve">Max flips = 1 of 6 industries; see HighAI_leave_one_industry_out_OECD.csv</w:t>
            </w:r>
          </w:p>
        </w:tc>
        <w:tc>
          <w:tcPr/>
          <w:p>
            <w:pPr>
              <w:pStyle w:val="Compact"/>
            </w:pPr>
            <w:r>
              <w:t xml:space="preserve">Tests fragility of the median threshold to dropping any single industry from a 7-industry ranking.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2026-07-22T06:11:57Z</dcterms:created>
  <dcterms:modified xsi:type="dcterms:W3CDTF">2026-07-22T06:11:57Z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