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13. Targeted Extensions (R7-R9)</w:t>
      </w:r>
    </w:p>
    <w:tbl>
      <w:tblPr>
        <w:tblStyle w:val="Table"/>
        <w:tblW w:type="pct" w:w="4909"/>
        <w:tblLayout w:type="fixed"/>
        <w:tblLook w:firstRow="1" w:lastRow="1" w:firstColumn="0" w:lastColumn="0" w:noHBand="0" w:noVBand="0" w:val="0020"/>
        <w:tblCaption w:val="Table 13. Targeted Extensions (R7-R9)"/>
      </w:tblPr>
      <w:tblGrid>
        <w:gridCol w:w="3264"/>
        <w:gridCol w:w="1152"/>
        <w:gridCol w:w="1152"/>
        <w:gridCol w:w="1200"/>
        <w:gridCol w:w="100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(R7a) FE, ln_GTI lag1</w:t>
            </w:r>
          </w:p>
        </w:tc>
        <w:tc>
          <w:tcPr/>
          <w:p>
            <w:pPr>
              <w:pStyle w:val="Compact"/>
            </w:pPr>
            <w:r>
              <w:t xml:space="preserve">(R7b) FE, ln_GTI lag2</w:t>
            </w:r>
          </w:p>
        </w:tc>
        <w:tc>
          <w:tcPr/>
          <w:p>
            <w:pPr>
              <w:pStyle w:val="Compact"/>
            </w:pPr>
            <w:r>
              <w:t xml:space="preserve">(R8) FE, Post2016 int.</w:t>
            </w:r>
          </w:p>
        </w:tc>
        <w:tc>
          <w:tcPr/>
          <w:p>
            <w:pPr>
              <w:pStyle w:val="Compact"/>
            </w:pPr>
            <w:r>
              <w:t xml:space="preserve">(R9) FE, quadratic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ln(GTI+1): Green technology intensity (log patents per bn USD VA)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-0.0128</w:t>
            </w:r>
          </w:p>
        </w:tc>
        <w:tc>
          <w:tcPr/>
          <w:p>
            <w:pPr>
              <w:pStyle w:val="Compact"/>
            </w:pPr>
            <w:r>
              <w:t xml:space="preserve">0.0252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(0.0127)</w:t>
            </w:r>
          </w:p>
        </w:tc>
        <w:tc>
          <w:tcPr/>
          <w:p>
            <w:pPr>
              <w:pStyle w:val="Compact"/>
            </w:pPr>
            <w:r>
              <w:t xml:space="preserve">(0.0158)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-0.3278*</w:t>
            </w:r>
          </w:p>
        </w:tc>
        <w:tc>
          <w:tcPr/>
          <w:p>
            <w:pPr>
              <w:pStyle w:val="Compact"/>
            </w:pPr>
            <w:r>
              <w:t xml:space="preserve">-0.3806**</w:t>
            </w:r>
          </w:p>
        </w:tc>
        <w:tc>
          <w:tcPr/>
          <w:p>
            <w:pPr>
              <w:pStyle w:val="Compact"/>
            </w:pPr>
            <w:r>
              <w:t xml:space="preserve">-0.2654*</w:t>
            </w:r>
          </w:p>
        </w:tc>
        <w:tc>
          <w:tcPr/>
          <w:p>
            <w:pPr>
              <w:pStyle w:val="Compact"/>
            </w:pPr>
            <w:r>
              <w:t xml:space="preserve">-0.2796*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(0.1694)</w:t>
            </w:r>
          </w:p>
        </w:tc>
        <w:tc>
          <w:tcPr/>
          <w:p>
            <w:pPr>
              <w:pStyle w:val="Compact"/>
            </w:pPr>
            <w:r>
              <w:t xml:space="preserve">(0.1870)</w:t>
            </w:r>
          </w:p>
        </w:tc>
        <w:tc>
          <w:tcPr/>
          <w:p>
            <w:pPr>
              <w:pStyle w:val="Compact"/>
            </w:pPr>
            <w:r>
              <w:t xml:space="preserve">(0.1591)</w:t>
            </w:r>
          </w:p>
        </w:tc>
        <w:tc>
          <w:tcPr/>
          <w:p>
            <w:pPr>
              <w:pStyle w:val="Compact"/>
            </w:pPr>
            <w:r>
              <w:t xml:space="preserve">(0.1543)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0.5387**</w:t>
            </w:r>
          </w:p>
        </w:tc>
        <w:tc>
          <w:tcPr/>
          <w:p>
            <w:pPr>
              <w:pStyle w:val="Compact"/>
            </w:pPr>
            <w:r>
              <w:t xml:space="preserve">0.5075*</w:t>
            </w:r>
          </w:p>
        </w:tc>
        <w:tc>
          <w:tcPr/>
          <w:p>
            <w:pPr>
              <w:pStyle w:val="Compact"/>
            </w:pPr>
            <w:r>
              <w:t xml:space="preserve">0.5567**</w:t>
            </w:r>
          </w:p>
        </w:tc>
        <w:tc>
          <w:tcPr/>
          <w:p>
            <w:pPr>
              <w:pStyle w:val="Compact"/>
            </w:pPr>
            <w:r>
              <w:t xml:space="preserve">0.5968**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(0.2499)</w:t>
            </w:r>
          </w:p>
        </w:tc>
        <w:tc>
          <w:tcPr/>
          <w:p>
            <w:pPr>
              <w:pStyle w:val="Compact"/>
            </w:pPr>
            <w:r>
              <w:t xml:space="preserve">(0.2595)</w:t>
            </w:r>
          </w:p>
        </w:tc>
        <w:tc>
          <w:tcPr/>
          <w:p>
            <w:pPr>
              <w:pStyle w:val="Compact"/>
            </w:pPr>
            <w:r>
              <w:t xml:space="preserve">(0.2406)</w:t>
            </w:r>
          </w:p>
        </w:tc>
        <w:tc>
          <w:tcPr/>
          <w:p>
            <w:pPr>
              <w:pStyle w:val="Compact"/>
            </w:pPr>
            <w:r>
              <w:t xml:space="preserve">(0.2390)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-0.0017</w:t>
            </w:r>
          </w:p>
        </w:tc>
        <w:tc>
          <w:tcPr/>
          <w:p>
            <w:pPr>
              <w:pStyle w:val="Compact"/>
            </w:pPr>
            <w:r>
              <w:t xml:space="preserve">-0.0018</w:t>
            </w:r>
          </w:p>
        </w:tc>
        <w:tc>
          <w:tcPr/>
          <w:p>
            <w:pPr>
              <w:pStyle w:val="Compact"/>
            </w:pPr>
            <w:r>
              <w:t xml:space="preserve">-0.0013</w:t>
            </w:r>
          </w:p>
        </w:tc>
        <w:tc>
          <w:tcPr/>
          <w:p>
            <w:pPr>
              <w:pStyle w:val="Compact"/>
            </w:pPr>
            <w:r>
              <w:t xml:space="preserve">-0.0016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(0.0027)</w:t>
            </w:r>
          </w:p>
        </w:tc>
        <w:tc>
          <w:tcPr/>
          <w:p>
            <w:pPr>
              <w:pStyle w:val="Compact"/>
            </w:pPr>
            <w:r>
              <w:t xml:space="preserve">(0.0028)</w:t>
            </w:r>
          </w:p>
        </w:tc>
        <w:tc>
          <w:tcPr/>
          <w:p>
            <w:pPr>
              <w:pStyle w:val="Compact"/>
            </w:pPr>
            <w:r>
              <w:t xml:space="preserve">(0.0025)</w:t>
            </w:r>
          </w:p>
        </w:tc>
        <w:tc>
          <w:tcPr/>
          <w:p>
            <w:pPr>
              <w:pStyle w:val="Compact"/>
            </w:pPr>
            <w:r>
              <w:t xml:space="preserve">(0.0026)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-0.0097***</w:t>
            </w:r>
          </w:p>
        </w:tc>
        <w:tc>
          <w:tcPr/>
          <w:p>
            <w:pPr>
              <w:pStyle w:val="Compact"/>
            </w:pPr>
            <w:r>
              <w:t xml:space="preserve">-0.0080**</w:t>
            </w:r>
          </w:p>
        </w:tc>
        <w:tc>
          <w:tcPr/>
          <w:p>
            <w:pPr>
              <w:pStyle w:val="Compact"/>
            </w:pPr>
            <w:r>
              <w:t xml:space="preserve">-0.0117***</w:t>
            </w:r>
          </w:p>
        </w:tc>
        <w:tc>
          <w:tcPr/>
          <w:p>
            <w:pPr>
              <w:pStyle w:val="Compact"/>
            </w:pPr>
            <w:r>
              <w:t xml:space="preserve">-0.0103***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school enrollment (%)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0.0008</w:t>
            </w:r>
          </w:p>
        </w:tc>
        <w:tc>
          <w:tcPr/>
          <w:p>
            <w:pPr>
              <w:pStyle w:val="Compac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(0.0012)</w:t>
            </w: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-0.0076</w:t>
            </w:r>
          </w:p>
        </w:tc>
        <w:tc>
          <w:tcPr/>
          <w:p>
            <w:pPr>
              <w:pStyle w:val="Compact"/>
            </w:pPr>
            <w:r>
              <w:t xml:space="preserve">-0.0075</w:t>
            </w:r>
          </w:p>
        </w:tc>
        <w:tc>
          <w:tcPr/>
          <w:p>
            <w:pPr>
              <w:pStyle w:val="Compact"/>
            </w:pPr>
            <w:r>
              <w:t xml:space="preserve">-0.0095</w:t>
            </w:r>
          </w:p>
        </w:tc>
        <w:tc>
          <w:tcPr/>
          <w:p>
            <w:pPr>
              <w:pStyle w:val="Compact"/>
            </w:pPr>
            <w:r>
              <w:t xml:space="preserve">-0.0073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(0.0287)</w:t>
            </w:r>
          </w:p>
        </w:tc>
        <w:tc>
          <w:tcPr/>
          <w:p>
            <w:pPr>
              <w:pStyle w:val="Compact"/>
            </w:pPr>
            <w:r>
              <w:t xml:space="preserve">(0.0304)</w:t>
            </w:r>
          </w:p>
        </w:tc>
        <w:tc>
          <w:tcPr/>
          <w:p>
            <w:pPr>
              <w:pStyle w:val="Compact"/>
            </w:pPr>
            <w:r>
              <w:t xml:space="preserve">(0.0268)</w:t>
            </w:r>
          </w:p>
        </w:tc>
        <w:tc>
          <w:tcPr/>
          <w:p>
            <w:pPr>
              <w:pStyle w:val="Compact"/>
            </w:pPr>
            <w:r>
              <w:t xml:space="preserve">(0.0277)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ln(GTI+1), lagged (t-1)</w:t>
            </w:r>
          </w:p>
        </w:tc>
        <w:tc>
          <w:tcPr/>
          <w:p>
            <w:pPr>
              <w:pStyle w:val="Compact"/>
            </w:pPr>
            <w:r>
              <w:t xml:space="preserve">-0.0121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(0.0111)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ln(GTI+1), lagged (t-2)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ln(GTI+1) x Post2016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-0.0075***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ln(GTI+1) squared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-0.0042**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1847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0.172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R7: FE with ln_GTI lagged one and two years, testing delayed technology-diffusion effects.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R8: FE with ln_GTI x Post2016 interaction (Paris Agreement entered into force Nov 2016),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testing whether the effect intensified after the policy shift.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R9: FE with ln_GTI + ln_GTI^2, testing for diminishing/increasing returns to green-tech intensity.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2026-07-22T06:11:56Z</dcterms:created>
  <dcterms:modified xsi:type="dcterms:W3CDTF">2026-07-22T06:11:56Z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