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14. Additional Moderator Robustness (HighTrade/HighRD)</w:t>
      </w:r>
    </w:p>
    <w:tbl>
      <w:tblPr>
        <w:tblStyle w:val="Table"/>
        <w:tblW w:type="pct" w:w="4961"/>
        <w:tblLayout w:type="fixed"/>
        <w:tblLook w:firstRow="1" w:lastRow="1" w:firstColumn="0" w:lastColumn="0" w:noHBand="0" w:noVBand="0" w:val="0020"/>
        <w:tblCaption w:val="Table 14. Additional Moderator Robustness (HighTrade/HighRD)"/>
      </w:tblPr>
      <w:tblGrid>
        <w:gridCol w:w="4207"/>
        <w:gridCol w:w="1918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(R11) FE, ln_GTI x HighTrade</w:t>
            </w:r>
          </w:p>
        </w:tc>
        <w:tc>
          <w:tcPr/>
          <w:p>
            <w:pPr>
              <w:pStyle w:val="Compact"/>
            </w:pPr>
            <w:r>
              <w:t xml:space="preserve">(R12) FE, ln_GTI x HighRD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  <w:r>
              <w:t xml:space="preserve">-0.0120</w:t>
            </w:r>
          </w:p>
        </w:tc>
        <w:tc>
          <w:tcPr/>
          <w:p>
            <w:pPr>
              <w:pStyle w:val="Compact"/>
            </w:pPr>
            <w:r>
              <w:t xml:space="preserve">-0.0130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(0.0120)</w:t>
            </w:r>
          </w:p>
        </w:tc>
        <w:tc>
          <w:tcPr/>
          <w:p>
            <w:pPr>
              <w:pStyle w:val="Compact"/>
            </w:pPr>
            <w:r>
              <w:t xml:space="preserve">(0.0122)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-0.2783*</w:t>
            </w:r>
          </w:p>
        </w:tc>
        <w:tc>
          <w:tcPr/>
          <w:p>
            <w:pPr>
              <w:pStyle w:val="Compact"/>
            </w:pPr>
            <w:r>
              <w:t xml:space="preserve">-0.2760*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(0.1570)</w:t>
            </w:r>
          </w:p>
        </w:tc>
        <w:tc>
          <w:tcPr/>
          <w:p>
            <w:pPr>
              <w:pStyle w:val="Compact"/>
            </w:pPr>
            <w:r>
              <w:t xml:space="preserve">(0.1577)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0.5719**</w:t>
            </w:r>
          </w:p>
        </w:tc>
        <w:tc>
          <w:tcPr/>
          <w:p>
            <w:pPr>
              <w:pStyle w:val="Compact"/>
            </w:pPr>
            <w:r>
              <w:t xml:space="preserve">0.5789**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(0.2410)</w:t>
            </w:r>
          </w:p>
        </w:tc>
        <w:tc>
          <w:tcPr/>
          <w:p>
            <w:pPr>
              <w:pStyle w:val="Compact"/>
            </w:pPr>
            <w:r>
              <w:t xml:space="preserve">(0.2416)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-0.0109***</w:t>
            </w:r>
          </w:p>
        </w:tc>
        <w:tc>
          <w:tcPr/>
          <w:p>
            <w:pPr>
              <w:pStyle w:val="Compact"/>
            </w:pPr>
            <w:r>
              <w:t xml:space="preserve">-0.0113***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-0.0098</w:t>
            </w:r>
          </w:p>
        </w:tc>
        <w:tc>
          <w:tcPr/>
          <w:p>
            <w:pPr>
              <w:pStyle w:val="Compact"/>
            </w:pPr>
            <w:r>
              <w:t xml:space="preserve">-0.0026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(0.0284)</w:t>
            </w:r>
          </w:p>
        </w:tc>
        <w:tc>
          <w:tcPr/>
          <w:p>
            <w:pPr>
              <w:pStyle w:val="Compact"/>
            </w:pPr>
            <w:r>
              <w:t xml:space="preserve">(0.0285)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 x HighTrade</w:t>
            </w:r>
          </w:p>
        </w:tc>
        <w:tc>
          <w:tcPr/>
          <w:p>
            <w:pPr>
              <w:pStyle w:val="Compact"/>
            </w:pPr>
            <w:r>
              <w:t xml:space="preserve">-0.0024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R11/R12: rd and trade are already included as controls in every specification (Table 8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onward); here additionally tested as interacted moderators, complementing the primary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HighAI (Table 8 col 2) and extended HighCapital (Table 8 col 2b) moderators.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HighTrade/HighRD = 1 if trade/rd &gt;= OECD panel-wide median (pooled across country-years;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these WDI series vary by country-year, not by industry, so a within-country split is 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meaningful here - see STEP 5c).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2026-07-14T10:11:15Z</dcterms:created>
  <dcterms:modified xsi:type="dcterms:W3CDTF">2026-07-14T10:11:15Z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