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14. Additional Moderator Robustness (HighTrade/HighRD)</w:t>
      </w:r>
    </w:p>
    <w:tbl>
      <w:tblPr>
        <w:tblStyle w:val="Table"/>
        <w:tblW w:type="pct" w:w="4961"/>
        <w:tblLayout w:type="fixed"/>
        <w:tblLook w:firstRow="1" w:lastRow="1" w:firstColumn="0" w:lastColumn="0" w:noHBand="0" w:noVBand="0" w:val="0020"/>
        <w:tblCaption w:val="Table 14. Additional Moderator Robustness (HighTrade/HighRD)"/>
      </w:tblPr>
      <w:tblGrid>
        <w:gridCol w:w="4207"/>
        <w:gridCol w:w="1918"/>
        <w:gridCol w:w="173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(R11) FE, ln_GTI x HighTrade</w:t>
            </w:r>
          </w:p>
        </w:tc>
        <w:tc>
          <w:tcPr/>
          <w:p>
            <w:pPr>
              <w:pStyle w:val="Compact"/>
            </w:pPr>
            <w:r>
              <w:t xml:space="preserve">(R12) FE, ln_GTI x HighRD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ln(GTI+1): Green technology intensity (log patents per bn USD VA)</w:t>
            </w:r>
          </w:p>
        </w:tc>
        <w:tc>
          <w:tcPr/>
          <w:p>
            <w:pPr>
              <w:pStyle w:val="Compact"/>
            </w:pPr>
            <w:r>
              <w:t xml:space="preserve">-0.0120</w:t>
            </w:r>
          </w:p>
        </w:tc>
        <w:tc>
          <w:tcPr/>
          <w:p>
            <w:pPr>
              <w:pStyle w:val="Compact"/>
            </w:pPr>
            <w:r>
              <w:t xml:space="preserve">-0.0130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(0.0120)</w:t>
            </w:r>
          </w:p>
        </w:tc>
        <w:tc>
          <w:tcPr/>
          <w:p>
            <w:pPr>
              <w:pStyle w:val="Compact"/>
            </w:pPr>
            <w:r>
              <w:t xml:space="preserve">(0.0122)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formation / Value added</w:t>
            </w:r>
          </w:p>
        </w:tc>
        <w:tc>
          <w:tcPr/>
          <w:p>
            <w:pPr>
              <w:pStyle w:val="Compact"/>
            </w:pPr>
            <w:r>
              <w:t xml:space="preserve">-0.2783*</w:t>
            </w:r>
          </w:p>
        </w:tc>
        <w:tc>
          <w:tcPr/>
          <w:p>
            <w:pPr>
              <w:pStyle w:val="Compact"/>
            </w:pPr>
            <w:r>
              <w:t xml:space="preserve">-0.2760*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(0.1570)</w:t>
            </w:r>
          </w:p>
        </w:tc>
        <w:tc>
          <w:tcPr/>
          <w:p>
            <w:pPr>
              <w:pStyle w:val="Compact"/>
            </w:pPr>
            <w:r>
              <w:t xml:space="preserve">(0.1577)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(ln, constant 2015 USD)</w:t>
            </w:r>
          </w:p>
        </w:tc>
        <w:tc>
          <w:tcPr/>
          <w:p>
            <w:pPr>
              <w:pStyle w:val="Compact"/>
            </w:pPr>
            <w:r>
              <w:t xml:space="preserve">0.5719**</w:t>
            </w:r>
          </w:p>
        </w:tc>
        <w:tc>
          <w:tcPr/>
          <w:p>
            <w:pPr>
              <w:pStyle w:val="Compact"/>
            </w:pPr>
            <w:r>
              <w:t xml:space="preserve">0.5789**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(0.2410)</w:t>
            </w:r>
          </w:p>
        </w:tc>
        <w:tc>
          <w:tcPr/>
          <w:p>
            <w:pPr>
              <w:pStyle w:val="Compact"/>
            </w:pPr>
            <w:r>
              <w:t xml:space="preserve">(0.2416)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 total final energy consumption)</w:t>
            </w:r>
          </w:p>
        </w:tc>
        <w:tc>
          <w:tcPr/>
          <w:p>
            <w:pPr>
              <w:pStyle w:val="Compact"/>
            </w:pPr>
            <w:r>
              <w:t xml:space="preserve">-0.0015</w:t>
            </w:r>
          </w:p>
        </w:tc>
        <w:tc>
          <w:tcPr/>
          <w:p>
            <w:pPr>
              <w:pStyle w:val="Compact"/>
            </w:pPr>
            <w:r>
              <w:t xml:space="preserve">-0.0013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(0.0026)</w:t>
            </w:r>
          </w:p>
        </w:tc>
        <w:tc>
          <w:tcPr/>
          <w:p>
            <w:pPr>
              <w:pStyle w:val="Compact"/>
            </w:pPr>
            <w:r>
              <w:t xml:space="preserve">(0.0026)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broadband subscriptions (per 100 people)</w:t>
            </w:r>
          </w:p>
        </w:tc>
        <w:tc>
          <w:tcPr/>
          <w:p>
            <w:pPr>
              <w:pStyle w:val="Compact"/>
            </w:pPr>
            <w:r>
              <w:t xml:space="preserve">-0.0109***</w:t>
            </w:r>
          </w:p>
        </w:tc>
        <w:tc>
          <w:tcPr/>
          <w:p>
            <w:pPr>
              <w:pStyle w:val="Compact"/>
            </w:pPr>
            <w:r>
              <w:t xml:space="preserve">-0.0113***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(0.0029)</w:t>
            </w:r>
          </w:p>
        </w:tc>
        <w:tc>
          <w:tcPr/>
          <w:p>
            <w:pPr>
              <w:pStyle w:val="Compact"/>
            </w:pPr>
            <w:r>
              <w:t xml:space="preserve">(0.0029)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Tertiary school enrollment (%)</w:t>
            </w:r>
          </w:p>
        </w:tc>
        <w:tc>
          <w:tcPr/>
          <w:p>
            <w:pPr>
              <w:pStyle w:val="Compact"/>
            </w:pPr>
            <w:r>
              <w:t xml:space="preserve">0.0007</w:t>
            </w:r>
          </w:p>
        </w:tc>
        <w:tc>
          <w:tcPr/>
          <w:p>
            <w:pPr>
              <w:pStyle w:val="Compact"/>
            </w:pPr>
            <w:r>
              <w:t xml:space="preserve">0.0007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(0.0013)</w:t>
            </w:r>
          </w:p>
        </w:tc>
        <w:tc>
          <w:tcPr/>
          <w:p>
            <w:pPr>
              <w:pStyle w:val="Compact"/>
            </w:pPr>
            <w:r>
              <w:t xml:space="preserve">(0.0013)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expenditure (% of GDP)</w:t>
            </w:r>
          </w:p>
        </w:tc>
        <w:tc>
          <w:tcPr/>
          <w:p>
            <w:pPr>
              <w:pStyle w:val="Compact"/>
            </w:pPr>
            <w:r>
              <w:t xml:space="preserve">-0.0098</w:t>
            </w:r>
          </w:p>
        </w:tc>
        <w:tc>
          <w:tcPr/>
          <w:p>
            <w:pPr>
              <w:pStyle w:val="Compact"/>
            </w:pPr>
            <w:r>
              <w:t xml:space="preserve">-0.0026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(0.0284)</w:t>
            </w:r>
          </w:p>
        </w:tc>
        <w:tc>
          <w:tcPr/>
          <w:p>
            <w:pPr>
              <w:pStyle w:val="Compact"/>
            </w:pPr>
            <w:r>
              <w:t xml:space="preserve">(0.0285)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ln(GTI+1) x HighTrade</w:t>
            </w:r>
          </w:p>
        </w:tc>
        <w:tc>
          <w:tcPr/>
          <w:p>
            <w:pPr>
              <w:pStyle w:val="Compact"/>
            </w:pPr>
            <w:r>
              <w:t xml:space="preserve">-0.0024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ln(GTI+1) x HighRD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-0.0034*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2183</w:t>
            </w:r>
          </w:p>
        </w:tc>
        <w:tc>
          <w:tcPr/>
          <w:p>
            <w:pPr>
              <w:pStyle w:val="Compact"/>
            </w:pPr>
            <w:r>
              <w:t xml:space="preserve">2183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0.165</w:t>
            </w:r>
          </w:p>
        </w:tc>
        <w:tc>
          <w:tcPr/>
          <w:p>
            <w:pPr>
              <w:pStyle w:val="Compact"/>
            </w:pPr>
            <w:r>
              <w:t xml:space="preserve">0.166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0.162</w:t>
            </w:r>
          </w:p>
        </w:tc>
        <w:tc>
          <w:tcPr/>
          <w:p>
            <w:pPr>
              <w:pStyle w:val="Compact"/>
            </w:pPr>
            <w:r>
              <w:t xml:space="preserve">0.163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3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R11/R12: rd and trade are already included as controls in every specification (Table 8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onward); here additionally tested as interacted moderators, complementing the primary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HighAI (Table 8 col 2) and extended HighCapital (Table 8 col 2b) moderators.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HighTrade/HighRD = 1 if trade/rd &gt;= OECD panel-wide median (pooled across country-years;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these WDI series vary by country-year, not by industry, so a within-country split is not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meaningful here - see STEP 5c).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SE clustered at pair level. * 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2026-07-22T06:11:57Z</dcterms:created>
  <dcterms:modified xsi:type="dcterms:W3CDTF">2026-07-22T06:11:57Z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