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16. Descriptive Statistics: EM Panel (year &gt;= 2012, ISIC C and D_E)</w:t>
      </w:r>
    </w:p>
    <w:tbl>
      <w:tblPr>
        <w:tblStyle w:val="Table"/>
        <w:tblW w:type="pct" w:w="4810"/>
        <w:tblLayout w:type="fixed"/>
        <w:tblLook w:firstRow="1" w:lastRow="1" w:firstColumn="0" w:lastColumn="0" w:noHBand="0" w:noVBand="0" w:val="0020"/>
        <w:tblCaption w:val="Table 16. Descriptive Statistics: EM Panel (year &gt;= 2012, ISIC C and D_E)"/>
      </w:tblPr>
      <w:tblGrid>
        <w:gridCol w:w="4374"/>
        <w:gridCol w:w="678"/>
        <w:gridCol w:w="603"/>
        <w:gridCol w:w="678"/>
        <w:gridCol w:w="603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tech. intensity EM (WIPO Field 24, country-level)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28.09</w:t>
            </w:r>
          </w:p>
        </w:tc>
        <w:tc>
          <w:tcPr/>
          <w:p>
            <w:pPr>
              <w:pStyle w:val="Compact"/>
            </w:pPr>
            <w:r>
              <w:t xml:space="preserve">102.45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841.00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High-AI dummy EM (industry AIIE above EM-sample median)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15.84</w:t>
            </w:r>
          </w:p>
        </w:tc>
        <w:tc>
          <w:tcPr/>
          <w:p>
            <w:pPr>
              <w:pStyle w:val="Compact"/>
            </w:pPr>
            <w:r>
              <w:t xml:space="preserve">9.68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43.44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8.83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6.96</w:t>
            </w:r>
          </w:p>
        </w:tc>
        <w:tc>
          <w:tcPr/>
          <w:p>
            <w:pPr>
              <w:pStyle w:val="Compact"/>
            </w:pPr>
            <w:r>
              <w:t xml:space="preserve">11.18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 productivity EM (ln, thousand USD VA per worker)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10.25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13.23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629.00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17.04</w:t>
            </w:r>
          </w:p>
        </w:tc>
        <w:tc>
          <w:tcPr/>
          <w:p>
            <w:pPr>
              <w:pStyle w:val="Compact"/>
            </w:pPr>
            <w:r>
              <w:t xml:space="preserve">15.16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79.20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626.00</w:t>
            </w:r>
          </w:p>
        </w:tc>
        <w:tc>
          <w:tcPr/>
          <w:p>
            <w:pPr>
              <w:pStyle w:val="Compact"/>
            </w:pPr>
            <w:r>
              <w:t xml:space="preserve">51.47</w:t>
            </w:r>
          </w:p>
        </w:tc>
        <w:tc>
          <w:tcPr/>
          <w:p>
            <w:pPr>
              <w:pStyle w:val="Compact"/>
            </w:pPr>
            <w:r>
              <w:t xml:space="preserve">22.59</w:t>
            </w:r>
          </w:p>
        </w:tc>
        <w:tc>
          <w:tcPr/>
          <w:p>
            <w:pPr>
              <w:pStyle w:val="Compact"/>
            </w:pPr>
            <w:r>
              <w:t xml:space="preserve">7.98</w:t>
            </w:r>
          </w:p>
        </w:tc>
        <w:tc>
          <w:tcPr/>
          <w:p>
            <w:pPr>
              <w:pStyle w:val="Compact"/>
            </w:pPr>
            <w:r>
              <w:t xml:space="preserve">127.58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quality (WGI 6-dim. composite)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-0.12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-1.43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UNIDO INDSTAT4 (VA+EMP), WIPO GreenInventory Field 24, WDI, WGI, Felten et al. (2021).</w:t>
            </w:r>
            <w:r>
              <w:t xml:space="preserve"> </w:t>
            </w:r>
            <w:r>
              <w:t xml:space="preserve">WIPO 4a extract covers 2022 (2026 download). capform unavailable in UNIDO. GTI_EM country-level;</w:t>
            </w:r>
            <w:r>
              <w:t xml:space="preserve"> </w:t>
            </w:r>
            <w:r>
              <w:t xml:space="preserve">HighAI_EM industry-level. Indonesia GTI_EM=0 all years (valid zero-patent observation). ASEAN:</w:t>
            </w:r>
            <w:r>
              <w:t xml:space="preserve"> </w:t>
            </w:r>
            <w:r>
              <w:t xml:space="preserve">VNM, IDN, PHL, MYS (Thailand excluded; Myanmar not in WIPO Field 24).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2026-07-14T10:18:17Z</dcterms:created>
  <dcterms:modified xsi:type="dcterms:W3CDTF">2026-07-14T10:18:17Z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