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ableCaption"/>
      </w:pPr>
      <w:r>
        <w:t xml:space="preserve">Table 16. Descriptive Statistics: EM Panel (year &gt;= 2012, ISIC C and D_E)</w:t>
      </w:r>
    </w:p>
    <w:tbl>
      <w:tblPr>
        <w:tblStyle w:val="Table"/>
        <w:tblW w:type="pct" w:w="4810"/>
        <w:tblLayout w:type="fixed"/>
        <w:tblLook w:firstRow="1" w:lastRow="1" w:firstColumn="0" w:lastColumn="0" w:noHBand="0" w:noVBand="0" w:val="0020"/>
        <w:tblCaption w:val="Table 16. Descriptive Statistics: EM Panel (year &gt;= 2012, ISIC C and D_E)"/>
      </w:tblPr>
      <w:tblGrid>
        <w:gridCol w:w="4374"/>
        <w:gridCol w:w="678"/>
        <w:gridCol w:w="603"/>
        <w:gridCol w:w="678"/>
        <w:gridCol w:w="603"/>
        <w:gridCol w:w="67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Mean</w:t>
            </w:r>
          </w:p>
        </w:tc>
        <w:tc>
          <w:tcPr/>
          <w:p>
            <w:pPr>
              <w:pStyle w:val="Compact"/>
            </w:pPr>
            <w:r>
              <w:t xml:space="preserve">SD</w:t>
            </w:r>
          </w:p>
        </w:tc>
        <w:tc>
          <w:tcPr/>
          <w:p>
            <w:pPr>
              <w:pStyle w:val="Compact"/>
            </w:pPr>
            <w:r>
              <w:t xml:space="preserve">Min</w:t>
            </w:r>
          </w:p>
        </w:tc>
        <w:tc>
          <w:tcPr/>
          <w:p>
            <w:pPr>
              <w:pStyle w:val="Compact"/>
            </w:pPr>
            <w:r>
              <w:t xml:space="preserve">Max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 tech. intensity EM (WIPO Field 24, country-level)</w:t>
            </w:r>
          </w:p>
        </w:tc>
        <w:tc>
          <w:tcPr/>
          <w:p>
            <w:pPr>
              <w:pStyle w:val="Compact"/>
            </w:pPr>
            <w:r>
              <w:t xml:space="preserve">642.00</w:t>
            </w:r>
          </w:p>
        </w:tc>
        <w:tc>
          <w:tcPr/>
          <w:p>
            <w:pPr>
              <w:pStyle w:val="Compact"/>
            </w:pPr>
            <w:r>
              <w:t xml:space="preserve">28.09</w:t>
            </w:r>
          </w:p>
        </w:tc>
        <w:tc>
          <w:tcPr/>
          <w:p>
            <w:pPr>
              <w:pStyle w:val="Compact"/>
            </w:pPr>
            <w:r>
              <w:t xml:space="preserve">102.45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841.00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High-AI dummy EM (industry AIIE above EM-sample median)</w:t>
            </w:r>
          </w:p>
        </w:tc>
        <w:tc>
          <w:tcPr/>
          <w:p>
            <w:pPr>
              <w:pStyle w:val="Compact"/>
            </w:pPr>
            <w:r>
              <w:t xml:space="preserve">642.00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Fixed broadband subscriptions (per 100 people)</w:t>
            </w:r>
          </w:p>
        </w:tc>
        <w:tc>
          <w:tcPr/>
          <w:p>
            <w:pPr>
              <w:pStyle w:val="Compact"/>
            </w:pPr>
            <w:r>
              <w:t xml:space="preserve">642.00</w:t>
            </w:r>
          </w:p>
        </w:tc>
        <w:tc>
          <w:tcPr/>
          <w:p>
            <w:pPr>
              <w:pStyle w:val="Compact"/>
            </w:pPr>
            <w:r>
              <w:t xml:space="preserve">15.84</w:t>
            </w:r>
          </w:p>
        </w:tc>
        <w:tc>
          <w:tcPr/>
          <w:p>
            <w:pPr>
              <w:pStyle w:val="Compact"/>
            </w:pPr>
            <w:r>
              <w:t xml:space="preserve">9.68</w:t>
            </w:r>
          </w:p>
        </w:tc>
        <w:tc>
          <w:tcPr/>
          <w:p>
            <w:pPr>
              <w:pStyle w:val="Compact"/>
            </w:pPr>
            <w:r>
              <w:t xml:space="preserve">0.21</w:t>
            </w:r>
          </w:p>
        </w:tc>
        <w:tc>
          <w:tcPr/>
          <w:p>
            <w:pPr>
              <w:pStyle w:val="Compact"/>
            </w:pPr>
            <w:r>
              <w:t xml:space="preserve">43.44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GDP per capita (ln, constant 2015 USD)</w:t>
            </w:r>
          </w:p>
        </w:tc>
        <w:tc>
          <w:tcPr/>
          <w:p>
            <w:pPr>
              <w:pStyle w:val="Compact"/>
            </w:pPr>
            <w:r>
              <w:t xml:space="preserve">642.00</w:t>
            </w:r>
          </w:p>
        </w:tc>
        <w:tc>
          <w:tcPr/>
          <w:p>
            <w:pPr>
              <w:pStyle w:val="Compact"/>
            </w:pPr>
            <w:r>
              <w:t xml:space="preserve">8.83</w:t>
            </w:r>
          </w:p>
        </w:tc>
        <w:tc>
          <w:tcPr/>
          <w:p>
            <w:pPr>
              <w:pStyle w:val="Compact"/>
            </w:pPr>
            <w:r>
              <w:t xml:space="preserve">0.83</w:t>
            </w:r>
          </w:p>
        </w:tc>
        <w:tc>
          <w:tcPr/>
          <w:p>
            <w:pPr>
              <w:pStyle w:val="Compact"/>
            </w:pPr>
            <w:r>
              <w:t xml:space="preserve">6.96</w:t>
            </w:r>
          </w:p>
        </w:tc>
        <w:tc>
          <w:tcPr/>
          <w:p>
            <w:pPr>
              <w:pStyle w:val="Compact"/>
            </w:pPr>
            <w:r>
              <w:t xml:space="preserve">11.18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Labour productivity EM (ln, thousand USD VA per worker)</w:t>
            </w:r>
          </w:p>
        </w:tc>
        <w:tc>
          <w:tcPr/>
          <w:p>
            <w:pPr>
              <w:pStyle w:val="Compact"/>
            </w:pPr>
            <w:r>
              <w:t xml:space="preserve">642.00</w:t>
            </w:r>
          </w:p>
        </w:tc>
        <w:tc>
          <w:tcPr/>
          <w:p>
            <w:pPr>
              <w:pStyle w:val="Compact"/>
            </w:pPr>
            <w:r>
              <w:t xml:space="preserve">10.25</w:t>
            </w:r>
          </w:p>
        </w:tc>
        <w:tc>
          <w:tcPr/>
          <w:p>
            <w:pPr>
              <w:pStyle w:val="Compact"/>
            </w:pPr>
            <w:r>
              <w:t xml:space="preserve">0.87</w:t>
            </w:r>
          </w:p>
        </w:tc>
        <w:tc>
          <w:tcPr/>
          <w:p>
            <w:pPr>
              <w:pStyle w:val="Compact"/>
            </w:pPr>
            <w:r>
              <w:t xml:space="preserve">5.27</w:t>
            </w:r>
          </w:p>
        </w:tc>
        <w:tc>
          <w:tcPr/>
          <w:p>
            <w:pPr>
              <w:pStyle w:val="Compact"/>
            </w:pPr>
            <w:r>
              <w:t xml:space="preserve">13.23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R&amp;D expenditure (% of GDP)</w:t>
            </w:r>
          </w:p>
        </w:tc>
        <w:tc>
          <w:tcPr/>
          <w:p>
            <w:pPr>
              <w:pStyle w:val="Compact"/>
            </w:pPr>
            <w:r>
              <w:t xml:space="preserve">629.00</w:t>
            </w:r>
          </w:p>
        </w:tc>
        <w:tc>
          <w:tcPr/>
          <w:p>
            <w:pPr>
              <w:pStyle w:val="Compact"/>
            </w:pPr>
            <w:r>
              <w:t xml:space="preserve">0.46</w:t>
            </w:r>
          </w:p>
        </w:tc>
        <w:tc>
          <w:tcPr/>
          <w:p>
            <w:pPr>
              <w:pStyle w:val="Compact"/>
            </w:pPr>
            <w:r>
              <w:t xml:space="preserve">0.32</w:t>
            </w:r>
          </w:p>
        </w:tc>
        <w:tc>
          <w:tcPr/>
          <w:p>
            <w:pPr>
              <w:pStyle w:val="Compact"/>
            </w:pPr>
            <w:r>
              <w:t xml:space="preserve">0.03</w:t>
            </w:r>
          </w:p>
        </w:tc>
        <w:tc>
          <w:tcPr/>
          <w:p>
            <w:pPr>
              <w:pStyle w:val="Compact"/>
            </w:pPr>
            <w:r>
              <w:t xml:space="preserve">1.50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Renewable energy (% total final energy)</w:t>
            </w:r>
          </w:p>
        </w:tc>
        <w:tc>
          <w:tcPr/>
          <w:p>
            <w:pPr>
              <w:pStyle w:val="Compact"/>
            </w:pPr>
            <w:r>
              <w:t xml:space="preserve">642.00</w:t>
            </w:r>
          </w:p>
        </w:tc>
        <w:tc>
          <w:tcPr/>
          <w:p>
            <w:pPr>
              <w:pStyle w:val="Compact"/>
            </w:pPr>
            <w:r>
              <w:t xml:space="preserve">17.04</w:t>
            </w:r>
          </w:p>
        </w:tc>
        <w:tc>
          <w:tcPr/>
          <w:p>
            <w:pPr>
              <w:pStyle w:val="Compact"/>
            </w:pPr>
            <w:r>
              <w:t xml:space="preserve">15.16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79.20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Tertiary school enrollment (%)</w:t>
            </w:r>
          </w:p>
        </w:tc>
        <w:tc>
          <w:tcPr/>
          <w:p>
            <w:pPr>
              <w:pStyle w:val="Compact"/>
            </w:pPr>
            <w:r>
              <w:t xml:space="preserve">626.00</w:t>
            </w:r>
          </w:p>
        </w:tc>
        <w:tc>
          <w:tcPr/>
          <w:p>
            <w:pPr>
              <w:pStyle w:val="Compact"/>
            </w:pPr>
            <w:r>
              <w:t xml:space="preserve">51.47</w:t>
            </w:r>
          </w:p>
        </w:tc>
        <w:tc>
          <w:tcPr/>
          <w:p>
            <w:pPr>
              <w:pStyle w:val="Compact"/>
            </w:pPr>
            <w:r>
              <w:t xml:space="preserve">22.59</w:t>
            </w:r>
          </w:p>
        </w:tc>
        <w:tc>
          <w:tcPr/>
          <w:p>
            <w:pPr>
              <w:pStyle w:val="Compact"/>
            </w:pPr>
            <w:r>
              <w:t xml:space="preserve">7.98</w:t>
            </w:r>
          </w:p>
        </w:tc>
        <w:tc>
          <w:tcPr/>
          <w:p>
            <w:pPr>
              <w:pStyle w:val="Compact"/>
            </w:pPr>
            <w:r>
              <w:t xml:space="preserve">127.58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Governance quality (WGI 6-dim. composite)</w:t>
            </w:r>
          </w:p>
        </w:tc>
        <w:tc>
          <w:tcPr/>
          <w:p>
            <w:pPr>
              <w:pStyle w:val="Compact"/>
            </w:pPr>
            <w:r>
              <w:t xml:space="preserve">642.00</w:t>
            </w:r>
          </w:p>
        </w:tc>
        <w:tc>
          <w:tcPr/>
          <w:p>
            <w:pPr>
              <w:pStyle w:val="Compact"/>
            </w:pPr>
            <w:r>
              <w:t xml:space="preserve">-0.12</w:t>
            </w:r>
          </w:p>
        </w:tc>
        <w:tc>
          <w:tcPr/>
          <w:p>
            <w:pPr>
              <w:pStyle w:val="Compact"/>
            </w:pPr>
            <w:r>
              <w:t xml:space="preserve">0.55</w:t>
            </w:r>
          </w:p>
        </w:tc>
        <w:tc>
          <w:tcPr/>
          <w:p>
            <w:pPr>
              <w:pStyle w:val="Compact"/>
            </w:pPr>
            <w:r>
              <w:t xml:space="preserve">-1.43</w:t>
            </w:r>
          </w:p>
        </w:tc>
        <w:tc>
          <w:tcPr/>
          <w:p>
            <w:pPr>
              <w:pStyle w:val="Compact"/>
            </w:pPr>
            <w:r>
              <w:t xml:space="preserve">1.16</w:t>
            </w:r>
          </w:p>
        </w:tc>
      </w:tr>
      <w:tr>
        <w:tc>
          <w:tcPr>
            <w:gridSpan w:val="6"/>
          </w:tcPr>
          <w:p>
            <w:pPr>
              <w:pStyle w:val="Compact"/>
            </w:pPr>
            <w:r>
              <w:t xml:space="preserve">Source: UNIDO INDSTAT4 (VA+EMP), WIPO GreenInventory Field 24, WDI, WGI, Felten et al. (2021).</w:t>
            </w:r>
            <w:r>
              <w:t xml:space="preserve"> </w:t>
            </w:r>
            <w:r>
              <w:t xml:space="preserve">WIPO 4a extract covers 2022 (2026 download). capform unavailable in UNIDO. GTI_EM country-level;</w:t>
            </w:r>
            <w:r>
              <w:t xml:space="preserve"> </w:t>
            </w:r>
            <w:r>
              <w:t xml:space="preserve">HighAI_EM industry-level. Indonesia GTI_EM=0 all years (valid zero-patent observation). ASEAN:</w:t>
            </w:r>
            <w:r>
              <w:t xml:space="preserve"> </w:t>
            </w:r>
            <w:r>
              <w:t xml:space="preserve">VNM, IDN, PHL, MYS (Thailand excluded; Myanmar not in WIPO Field 24).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2026-07-22T06:12:39Z</dcterms:created>
  <dcterms:modified xsi:type="dcterms:W3CDTF">2026-07-22T06:12:39Z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