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17. Cross-Sample Comparison: GTI and Labour Productivity (OECD vs EM)</w:t>
      </w:r>
    </w:p>
    <w:tbl>
      <w:tblPr>
        <w:tblStyle w:val="Table"/>
        <w:tblW w:type="pct" w:w="4900"/>
        <w:tblLayout w:type="fixed"/>
        <w:tblLook w:firstRow="1" w:lastRow="1" w:firstColumn="0" w:lastColumn="0" w:noHBand="0" w:noVBand="0" w:val="0020"/>
        <w:tblCaption w:val="Table 17. Cross-Sample Comparison: GTI and Labour Productivity (OECD vs EM)"/>
      </w:tblPr>
      <w:tblGrid>
        <w:gridCol w:w="3880"/>
        <w:gridCol w:w="1346"/>
        <w:gridCol w:w="1188"/>
        <w:gridCol w:w="134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FE-IV OECD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FE-IV EM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FE+Int. 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 tech. intensity OECD (ENV-TECH Y02, IV)</w:t>
            </w:r>
          </w:p>
        </w:tc>
        <w:tc>
          <w:tcPr/>
          <w:p>
            <w:pPr>
              <w:pStyle w:val="Compact"/>
            </w:pPr>
            <w:r>
              <w:t xml:space="preserve">0.019***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Green tech. intensity EM (WIPO Field 24, IV)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(0.203)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0.515*</w:t>
            </w:r>
          </w:p>
        </w:tc>
        <w:tc>
          <w:tcPr/>
          <w:p>
            <w:pPr>
              <w:pStyle w:val="Compact"/>
            </w:pPr>
            <w:r>
              <w:t xml:space="preserve">0.857**</w:t>
            </w:r>
          </w:p>
        </w:tc>
        <w:tc>
          <w:tcPr/>
          <w:p>
            <w:pPr>
              <w:pStyle w:val="Compact"/>
            </w:pPr>
            <w:r>
              <w:t xml:space="preserve">0.765**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(0.266)</w:t>
            </w:r>
          </w:p>
        </w:tc>
        <w:tc>
          <w:tcPr/>
          <w:p>
            <w:pPr>
              <w:pStyle w:val="Compact"/>
            </w:pPr>
            <w:r>
              <w:t xml:space="preserve">(0.339)</w:t>
            </w:r>
          </w:p>
        </w:tc>
        <w:tc>
          <w:tcPr/>
          <w:p>
            <w:pPr>
              <w:pStyle w:val="Compact"/>
            </w:pPr>
            <w:r>
              <w:t xml:space="preserve">(0.307)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-0.391**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(0.191)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-0.008**</w:t>
            </w:r>
          </w:p>
        </w:tc>
        <w:tc>
          <w:tcPr/>
          <w:p>
            <w:pPr>
              <w:pStyle w:val="Compact"/>
            </w:pPr>
            <w:r>
              <w:t xml:space="preserve">0.019**</w:t>
            </w:r>
          </w:p>
        </w:tc>
        <w:tc>
          <w:tcPr/>
          <w:p>
            <w:pPr>
              <w:pStyle w:val="Compact"/>
            </w:pPr>
            <w:r>
              <w:t xml:space="preserve">0.015*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(0.009)</w:t>
            </w:r>
          </w:p>
        </w:tc>
        <w:tc>
          <w:tcPr/>
          <w:p>
            <w:pPr>
              <w:pStyle w:val="Compact"/>
            </w:pPr>
            <w:r>
              <w:t xml:space="preserve">(0.008)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Tertiary school enrollment (%)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-0.605*</w:t>
            </w:r>
          </w:p>
        </w:tc>
        <w:tc>
          <w:tcPr/>
          <w:p>
            <w:pPr>
              <w:pStyle w:val="Compact"/>
            </w:pPr>
            <w:r>
              <w:t xml:space="preserve">-0.156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(0.031)</w:t>
            </w:r>
          </w:p>
        </w:tc>
        <w:tc>
          <w:tcPr/>
          <w:p>
            <w:pPr>
              <w:pStyle w:val="Compact"/>
            </w:pPr>
            <w:r>
              <w:t xml:space="preserve">(0.338)</w:t>
            </w:r>
          </w:p>
        </w:tc>
        <w:tc>
          <w:tcPr/>
          <w:p>
            <w:pPr>
              <w:pStyle w:val="Compact"/>
            </w:pPr>
            <w:r>
              <w:t xml:space="preserve">(0.180)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quality (WGI 6-dim. composite)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-0.178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(0.184)</w:t>
            </w:r>
          </w:p>
        </w:tc>
        <w:tc>
          <w:tcPr/>
          <w:p>
            <w:pPr>
              <w:pStyle w:val="Compact"/>
            </w:pPr>
            <w:r>
              <w:t xml:space="preserve">(0.188)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1847</w:t>
            </w:r>
          </w:p>
        </w:tc>
        <w:tc>
          <w:tcPr/>
          <w:p>
            <w:pPr>
              <w:pStyle w:val="Compact"/>
            </w:pPr>
            <w:r>
              <w:t xml:space="preserve">536</w:t>
            </w:r>
          </w:p>
        </w:tc>
        <w:tc>
          <w:tcPr/>
          <w:p>
            <w:pPr>
              <w:pStyle w:val="Compact"/>
            </w:pPr>
            <w:r>
              <w:t xml:space="preserve">609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0.911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  <w:r>
              <w:t xml:space="preserve">0.143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  <w:r>
              <w:t xml:space="preserve">0.139</w:t>
            </w:r>
          </w:p>
        </w:tc>
        <w:tc>
          <w:tcPr/>
          <w:p>
            <w:pPr>
              <w:pStyle w:val="Compact"/>
            </w:pPr>
            <w:r>
              <w:t xml:space="preserve">0.109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pair_id_em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OECD: 25 countries, 7 ISIC sectors, 2012-2022. GTI = ENV-TECH CPC Y02, industry-level.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EM: WIPO Field 24 (country-level GTI_EM). UNIDO INDSTAT4 (VA+EMP, ISIC C+D_E, 2012-2022).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WIPO 4a extract covers 2010-2024; EM panel capped 2022 by UNIDO/WGI. capform unavailable in</w:t>
            </w:r>
            <w:r>
              <w:t xml:space="preserve"> </w:t>
            </w:r>
            <w:r>
              <w:t xml:space="preserve">UNIDO EM.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GTI_EM cross-level interaction: GTI_EM (country) x HighAI_EM (industry).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Indonesia GTI_EM=0 all years (valid zero-green-patent obs; not missing).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ASEAN in EM panel: VNM, IDN, PHL, MYS.</w:t>
            </w:r>
          </w:p>
        </w:tc>
      </w:tr>
      <w:tr>
        <w:tc>
          <w:tcPr>
            <w:gridSpan w:val="4"/>
          </w:tcPr>
          <w:p>
            <w:pPr>
              <w:pStyle w:val="Compact"/>
            </w:pPr>
            <w:r>
              <w:t xml:space="preserve">SE clustered at pair level. * 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2026-07-14T10:18:29Z</dcterms:created>
  <dcterms:modified xsi:type="dcterms:W3CDTF">2026-07-14T10:18:29Z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