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17. Cross-Sample Comparison: GTI and Labour Productivity (OECD vs EM)</w:t>
      </w:r>
    </w:p>
    <w:tbl>
      <w:tblPr>
        <w:tblStyle w:val="Table"/>
        <w:tblW w:type="pct" w:w="4900"/>
        <w:tblLayout w:type="fixed"/>
        <w:tblLook w:firstRow="1" w:lastRow="1" w:firstColumn="0" w:lastColumn="0" w:noHBand="0" w:noVBand="0" w:val="0020"/>
        <w:tblCaption w:val="Table 17. Cross-Sample Comparison: GTI and Labour Productivity (OECD vs EM)"/>
      </w:tblPr>
      <w:tblGrid>
        <w:gridCol w:w="3880"/>
        <w:gridCol w:w="1346"/>
        <w:gridCol w:w="1188"/>
        <w:gridCol w:w="134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 OECD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FE-IV EM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FE+Int. 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tech. intensity OECD (ENV-TECH Y02, IV)</w:t>
            </w:r>
          </w:p>
        </w:tc>
        <w:tc>
          <w:tcPr/>
          <w:p>
            <w:pPr>
              <w:pStyle w:val="Compact"/>
            </w:pPr>
            <w:r>
              <w:t xml:space="preserve">0.019***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Green tech. intensity EM (WIPO Field 24, IV)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0.515*</w:t>
            </w:r>
          </w:p>
        </w:tc>
        <w:tc>
          <w:tcPr/>
          <w:p>
            <w:pPr>
              <w:pStyle w:val="Compact"/>
            </w:pPr>
            <w:r>
              <w:t xml:space="preserve">0.857**</w:t>
            </w:r>
          </w:p>
        </w:tc>
        <w:tc>
          <w:tcPr/>
          <w:p>
            <w:pPr>
              <w:pStyle w:val="Compact"/>
            </w:pPr>
            <w:r>
              <w:t xml:space="preserve">0.765**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(0.266)</w:t>
            </w: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  <w:tc>
          <w:tcPr/>
          <w:p>
            <w:pPr>
              <w:pStyle w:val="Compact"/>
            </w:pPr>
            <w:r>
              <w:t xml:space="preserve">(0.307)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-0.391**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-0.008**</w:t>
            </w:r>
          </w:p>
        </w:tc>
        <w:tc>
          <w:tcPr/>
          <w:p>
            <w:pPr>
              <w:pStyle w:val="Compact"/>
            </w:pPr>
            <w:r>
              <w:t xml:space="preserve">0.019**</w:t>
            </w:r>
          </w:p>
        </w:tc>
        <w:tc>
          <w:tcPr/>
          <w:p>
            <w:pPr>
              <w:pStyle w:val="Compact"/>
            </w:pPr>
            <w:r>
              <w:t xml:space="preserve">0.015*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school enrollment (%)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-0.605*</w:t>
            </w:r>
          </w:p>
        </w:tc>
        <w:tc>
          <w:tcPr/>
          <w:p>
            <w:pPr>
              <w:pStyle w:val="Compact"/>
            </w:pPr>
            <w:r>
              <w:t xml:space="preserve">-0.156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  <w:tc>
          <w:tcPr/>
          <w:p>
            <w:pPr>
              <w:pStyle w:val="Compact"/>
            </w:pPr>
            <w:r>
              <w:t xml:space="preserve">(0.338)</w:t>
            </w:r>
          </w:p>
        </w:tc>
        <w:tc>
          <w:tcPr/>
          <w:p>
            <w:pPr>
              <w:pStyle w:val="Compact"/>
            </w:pPr>
            <w:r>
              <w:t xml:space="preserve">(0.180)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quality (WGI 6-dim. composite)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-0.178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(0.184)</w:t>
            </w:r>
          </w:p>
        </w:tc>
        <w:tc>
          <w:tcPr/>
          <w:p>
            <w:pPr>
              <w:pStyle w:val="Compact"/>
            </w:pPr>
            <w:r>
              <w:t xml:space="preserve">(0.188)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1847</w:t>
            </w:r>
          </w:p>
        </w:tc>
        <w:tc>
          <w:tcPr/>
          <w:p>
            <w:pPr>
              <w:pStyle w:val="Compact"/>
            </w:pPr>
            <w:r>
              <w:t xml:space="preserve">536</w:t>
            </w:r>
          </w:p>
        </w:tc>
        <w:tc>
          <w:tcPr/>
          <w:p>
            <w:pPr>
              <w:pStyle w:val="Compact"/>
            </w:pPr>
            <w:r>
              <w:t xml:space="preserve">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OECD: 25 countries, 7 ISIC sectors, 2012-2022. GTI = ENV-TECH CPC Y02, industry-level.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EM: WIPO Field 24 (country-level GTI_EM). UNIDO INDSTAT4 (VA+EMP, ISIC C+D_E, 2012-2022).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WIPO 4a extract covers 2010-2024; EM panel capped 2022 by UNIDO/WGI. capform unavailable in</w:t>
            </w:r>
            <w:r>
              <w:t xml:space="preserve"> </w:t>
            </w:r>
            <w:r>
              <w:t xml:space="preserve">UNIDO EM.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GTI_EM cross-level interaction: GTI_EM (country) x HighAI_EM (industry).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Indonesia GTI_EM=0 all years (valid zero-green-patent obs; not missing).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ASEAN in EM panel: VNM, IDN, PHL, MYS.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2026-07-22T06:12:51Z</dcterms:created>
  <dcterms:modified xsi:type="dcterms:W3CDTF">2026-07-22T06:12:51Z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