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18. ASEAN Spotlight: Does the Green-Tech Productivity Dividend Differ in South-East Asia?</w:t>
      </w:r>
    </w:p>
    <w:tbl>
      <w:tblPr>
        <w:tblStyle w:val="Table"/>
        <w:tblW w:type="pct" w:w="4948"/>
        <w:tblLayout w:type="fixed"/>
        <w:tblLook w:firstRow="1" w:lastRow="1" w:firstColumn="0" w:lastColumn="0" w:noHBand="0" w:noVBand="0" w:val="0020"/>
        <w:tblCaption w:val="Table 18. ASEAN Spotlight: Does the Green-Tech Productivity Dividend Differ in South-East Asia?"/>
      </w:tblPr>
      <w:tblGrid>
        <w:gridCol w:w="3052"/>
        <w:gridCol w:w="2145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 EM (baseline)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 EM + ASEAN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 Intensity (ln, IV) [EM]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Green Tech Intensity (ln)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 Intensity x ASEAN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0.198*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0.857**</w:t>
            </w:r>
          </w:p>
        </w:tc>
        <w:tc>
          <w:tcPr/>
          <w:p>
            <w:pPr>
              <w:pStyle w:val="Compact"/>
            </w:pPr>
            <w:r>
              <w:t xml:space="preserve">0.687**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  <w:r>
              <w:t xml:space="preserve">(0.311)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-0.605*</w:t>
            </w:r>
          </w:p>
        </w:tc>
        <w:tc>
          <w:tcPr/>
          <w:p>
            <w:pPr>
              <w:pStyle w:val="Compact"/>
            </w:pPr>
            <w:r>
              <w:t xml:space="preserve">-0.168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(0.338)</w:t>
            </w:r>
          </w:p>
        </w:tc>
        <w:tc>
          <w:tcPr/>
          <w:p>
            <w:pPr>
              <w:pStyle w:val="Compact"/>
            </w:pPr>
            <w:r>
              <w:t xml:space="preserve">(0.182)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 (per 100)</w:t>
            </w:r>
          </w:p>
        </w:tc>
        <w:tc>
          <w:tcPr/>
          <w:p>
            <w:pPr>
              <w:pStyle w:val="Compact"/>
            </w:pPr>
            <w:r>
              <w:t xml:space="preserve">0.019**</w:t>
            </w:r>
          </w:p>
        </w:tc>
        <w:tc>
          <w:tcPr/>
          <w:p>
            <w:pPr>
              <w:pStyle w:val="Compact"/>
            </w:pPr>
            <w:r>
              <w:t xml:space="preserve">0.014*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enrollment (%)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-0.175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(0.184)</w:t>
            </w:r>
          </w:p>
        </w:tc>
        <w:tc>
          <w:tcPr/>
          <w:p>
            <w:pPr>
              <w:pStyle w:val="Compact"/>
            </w:pPr>
            <w:r>
              <w:t xml:space="preserve">(0.189)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536</w:t>
            </w:r>
          </w:p>
        </w:tc>
        <w:tc>
          <w:tcPr/>
          <w:p>
            <w:pPr>
              <w:pStyle w:val="Compact"/>
            </w:pPr>
            <w:r>
              <w:t xml:space="preserve">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Column (2): two-way FE with ASEAN interaction (single lag-IV cannot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instrument both the level and the interaction).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ASEAN countries in the EM sample: IDN, LAO, MYS, PHL, THA, VNM - Viet Nam in-sample.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2026-07-22T06:12:51Z</dcterms:created>
  <dcterms:modified xsi:type="dcterms:W3CDTF">2026-07-22T06:12:51Z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